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1805" w14:textId="27630ACF" w:rsidR="00C87690" w:rsidRDefault="00CF5E28">
      <w:pPr>
        <w:pStyle w:val="Header"/>
        <w:tabs>
          <w:tab w:val="clear" w:pos="9639"/>
          <w:tab w:val="right" w:pos="5954"/>
        </w:tabs>
        <w:spacing w:after="240"/>
        <w:jc w:val="right"/>
      </w:pPr>
      <w:r>
        <w:rPr>
          <w:rFonts w:ascii="Calibri" w:hAnsi="Calibri"/>
        </w:rPr>
        <w:t xml:space="preserve">Input paper: </w:t>
      </w:r>
      <w:r>
        <w:rPr>
          <w:rStyle w:val="FootnoteAnchor"/>
          <w:rFonts w:ascii="Calibri" w:hAnsi="Calibri"/>
          <w:sz w:val="22"/>
        </w:rPr>
        <w:footnoteReference w:id="1"/>
      </w:r>
      <w:r>
        <w:rPr>
          <w:rFonts w:ascii="Calibri" w:hAnsi="Calibri"/>
        </w:rPr>
        <w:t xml:space="preserve">  VTS53-6.3.2</w:t>
      </w:r>
    </w:p>
    <w:p w14:paraId="56155507" w14:textId="77777777" w:rsidR="00C87690" w:rsidRDefault="00C87690">
      <w:pPr>
        <w:pStyle w:val="BodyText"/>
        <w:tabs>
          <w:tab w:val="left" w:pos="2835"/>
        </w:tabs>
        <w:rPr>
          <w:rFonts w:ascii="Calibri" w:hAnsi="Calibri"/>
        </w:rPr>
      </w:pPr>
    </w:p>
    <w:p w14:paraId="0B6BC5E3" w14:textId="77777777" w:rsidR="00C87690" w:rsidRDefault="00C87690">
      <w:pPr>
        <w:pStyle w:val="BodyText"/>
        <w:tabs>
          <w:tab w:val="left" w:pos="2835"/>
        </w:tabs>
        <w:rPr>
          <w:rFonts w:ascii="Calibri" w:hAnsi="Calibri"/>
        </w:rPr>
      </w:pPr>
    </w:p>
    <w:p w14:paraId="40934EDC" w14:textId="77777777" w:rsidR="00C87690" w:rsidRDefault="00CF5E28">
      <w:pPr>
        <w:pStyle w:val="BodyText"/>
        <w:tabs>
          <w:tab w:val="left" w:pos="2835"/>
        </w:tabs>
      </w:pPr>
      <w:r>
        <w:rPr>
          <w:rFonts w:ascii="Calibri" w:hAnsi="Calibri"/>
        </w:rPr>
        <w:t xml:space="preserve">Input paper for the following Committee(s): </w:t>
      </w:r>
      <w:r>
        <w:rPr>
          <w:rFonts w:ascii="Calibri" w:hAnsi="Calibri"/>
        </w:rPr>
        <w:tab/>
      </w:r>
      <w:r>
        <w:rPr>
          <w:rFonts w:ascii="Calibri" w:hAnsi="Calibri"/>
          <w:sz w:val="18"/>
          <w:szCs w:val="18"/>
        </w:rPr>
        <w:t>check as appropriate</w:t>
      </w:r>
      <w:r>
        <w:rPr>
          <w:rFonts w:ascii="Calibri" w:hAnsi="Calibri"/>
          <w:sz w:val="18"/>
          <w:szCs w:val="18"/>
        </w:rPr>
        <w:tab/>
      </w:r>
      <w:r>
        <w:rPr>
          <w:rFonts w:ascii="Calibri" w:hAnsi="Calibri"/>
        </w:rPr>
        <w:tab/>
        <w:t>Purpose of paper:</w:t>
      </w:r>
    </w:p>
    <w:p w14:paraId="6E452D01" w14:textId="7CB08026" w:rsidR="00C87690" w:rsidRDefault="00CF5E28">
      <w:pPr>
        <w:pStyle w:val="BodyText"/>
        <w:tabs>
          <w:tab w:val="left" w:pos="1843"/>
        </w:tabs>
      </w:pPr>
      <w:proofErr w:type="gramStart"/>
      <w:r>
        <w:rPr>
          <w:rFonts w:ascii="Calibri" w:hAnsi="Calibri" w:cs="Arial"/>
          <w:b/>
          <w:sz w:val="24"/>
          <w:szCs w:val="24"/>
        </w:rPr>
        <w:t>□</w:t>
      </w:r>
      <w:r>
        <w:rPr>
          <w:rFonts w:ascii="Calibri" w:hAnsi="Calibri" w:cs="Arial"/>
          <w:sz w:val="24"/>
          <w:szCs w:val="24"/>
        </w:rPr>
        <w:t xml:space="preserve">  </w:t>
      </w:r>
      <w:r>
        <w:rPr>
          <w:rFonts w:ascii="Calibri" w:hAnsi="Calibri" w:cs="Arial"/>
        </w:rPr>
        <w:t>ARM</w:t>
      </w:r>
      <w:proofErr w:type="gramEnd"/>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ENG</w:t>
      </w:r>
      <w:r>
        <w:rPr>
          <w:rFonts w:ascii="Calibri" w:hAnsi="Calibri" w:cs="Arial"/>
        </w:rPr>
        <w:tab/>
      </w:r>
      <w:r>
        <w:rPr>
          <w:rFonts w:ascii="Calibri" w:hAnsi="Calibri" w:cs="Arial"/>
        </w:rPr>
        <w:tab/>
      </w:r>
      <w:r>
        <w:rPr>
          <w:rFonts w:ascii="Calibri" w:hAnsi="Calibri" w:cs="Arial"/>
          <w:b/>
          <w:sz w:val="24"/>
          <w:szCs w:val="24"/>
        </w:rPr>
        <w:t>□</w:t>
      </w:r>
      <w:r>
        <w:rPr>
          <w:rFonts w:ascii="Calibri" w:hAnsi="Calibri" w:cs="Arial"/>
          <w:sz w:val="24"/>
          <w:szCs w:val="24"/>
        </w:rPr>
        <w:t xml:space="preserve">  </w:t>
      </w:r>
      <w:r>
        <w:rPr>
          <w:rFonts w:ascii="Calibri" w:hAnsi="Calibri" w:cs="Arial"/>
        </w:rPr>
        <w:t>PAP</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sz w:val="24"/>
          <w:szCs w:val="24"/>
        </w:rPr>
        <w:t>□</w:t>
      </w:r>
      <w:r>
        <w:rPr>
          <w:rFonts w:ascii="Calibri" w:hAnsi="Calibri" w:cs="Arial"/>
          <w:sz w:val="24"/>
          <w:szCs w:val="24"/>
        </w:rPr>
        <w:t xml:space="preserve">  Input</w:t>
      </w:r>
    </w:p>
    <w:p w14:paraId="6EDC6C75" w14:textId="1A312AD1" w:rsidR="00C87690" w:rsidRDefault="00CF5E28">
      <w:pPr>
        <w:pStyle w:val="BodyText"/>
        <w:tabs>
          <w:tab w:val="left" w:pos="1843"/>
        </w:tabs>
      </w:pPr>
      <w:proofErr w:type="gramStart"/>
      <w:r>
        <w:rPr>
          <w:rFonts w:ascii="Calibri" w:hAnsi="Calibri" w:cs="Arial"/>
          <w:b/>
          <w:sz w:val="24"/>
          <w:szCs w:val="24"/>
        </w:rPr>
        <w:t>x</w:t>
      </w:r>
      <w:r>
        <w:rPr>
          <w:rFonts w:ascii="Calibri" w:hAnsi="Calibri" w:cs="Arial"/>
          <w:sz w:val="24"/>
          <w:szCs w:val="24"/>
        </w:rPr>
        <w:t xml:space="preserve">  </w:t>
      </w:r>
      <w:r>
        <w:rPr>
          <w:rFonts w:ascii="Calibri" w:hAnsi="Calibri" w:cs="Arial"/>
        </w:rPr>
        <w:t>ENAV</w:t>
      </w:r>
      <w:proofErr w:type="gramEnd"/>
      <w:r>
        <w:rPr>
          <w:rFonts w:ascii="Calibri" w:hAnsi="Calibri" w:cs="Arial"/>
          <w:b/>
          <w:sz w:val="24"/>
          <w:szCs w:val="24"/>
        </w:rPr>
        <w:tab/>
        <w:t>x</w:t>
      </w:r>
      <w:r>
        <w:rPr>
          <w:rFonts w:ascii="Calibri" w:hAnsi="Calibri" w:cs="Arial"/>
          <w:sz w:val="24"/>
          <w:szCs w:val="24"/>
        </w:rPr>
        <w:t xml:space="preserve">  </w:t>
      </w:r>
      <w:r>
        <w:rPr>
          <w:rFonts w:ascii="Calibri" w:hAnsi="Calibri" w:cs="Arial"/>
        </w:rPr>
        <w:t>VTS</w:t>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sz w:val="24"/>
          <w:szCs w:val="24"/>
        </w:rPr>
        <w:tab/>
      </w:r>
      <w:r>
        <w:rPr>
          <w:rFonts w:ascii="Calibri" w:hAnsi="Calibri" w:cs="Arial"/>
          <w:b/>
          <w:sz w:val="24"/>
          <w:szCs w:val="24"/>
        </w:rPr>
        <w:t>x</w:t>
      </w:r>
      <w:r>
        <w:rPr>
          <w:rFonts w:ascii="Calibri" w:hAnsi="Calibri" w:cs="Arial"/>
          <w:sz w:val="24"/>
          <w:szCs w:val="24"/>
        </w:rPr>
        <w:t xml:space="preserve">  Information</w:t>
      </w:r>
    </w:p>
    <w:p w14:paraId="1939B054" w14:textId="77777777" w:rsidR="00C87690" w:rsidRDefault="00C87690">
      <w:pPr>
        <w:pStyle w:val="BodyText"/>
        <w:tabs>
          <w:tab w:val="left" w:pos="2835"/>
        </w:tabs>
        <w:rPr>
          <w:rFonts w:ascii="Calibri" w:hAnsi="Calibri"/>
        </w:rPr>
      </w:pPr>
    </w:p>
    <w:p w14:paraId="552E48AD" w14:textId="7DD06043" w:rsidR="00C87690" w:rsidRDefault="00CF5E28">
      <w:pPr>
        <w:pStyle w:val="BodyText"/>
        <w:tabs>
          <w:tab w:val="left" w:pos="2835"/>
        </w:tabs>
      </w:pPr>
      <w:r>
        <w:rPr>
          <w:rFonts w:ascii="Calibri" w:hAnsi="Calibri"/>
        </w:rPr>
        <w:t xml:space="preserve">Agenda item </w:t>
      </w:r>
      <w:r>
        <w:rPr>
          <w:rStyle w:val="FootnoteAnchor"/>
          <w:rFonts w:ascii="Calibri" w:hAnsi="Calibri"/>
          <w:sz w:val="22"/>
        </w:rPr>
        <w:footnoteReference w:id="2"/>
      </w:r>
      <w:r>
        <w:rPr>
          <w:rFonts w:ascii="Calibri" w:hAnsi="Calibri"/>
        </w:rPr>
        <w:tab/>
      </w:r>
      <w:r>
        <w:rPr>
          <w:rFonts w:ascii="Calibri" w:hAnsi="Calibri"/>
        </w:rPr>
        <w:tab/>
      </w:r>
      <w:r>
        <w:rPr>
          <w:rFonts w:ascii="Calibri" w:hAnsi="Calibri"/>
        </w:rPr>
        <w:tab/>
        <w:t>6.3</w:t>
      </w:r>
    </w:p>
    <w:p w14:paraId="6BA6FD98" w14:textId="77777777" w:rsidR="00C87690" w:rsidRDefault="00CF5E28">
      <w:pPr>
        <w:pStyle w:val="BodyText"/>
        <w:tabs>
          <w:tab w:val="left" w:pos="2835"/>
        </w:tabs>
      </w:pPr>
      <w:r>
        <w:rPr>
          <w:rFonts w:ascii="Calibri" w:hAnsi="Calibri"/>
        </w:rPr>
        <w:t xml:space="preserve">Technical Domain / Task Number </w:t>
      </w:r>
      <w:r>
        <w:rPr>
          <w:rFonts w:ascii="Calibri" w:hAnsi="Calibri"/>
          <w:vertAlign w:val="superscript"/>
        </w:rPr>
        <w:t>2</w:t>
      </w:r>
      <w:r>
        <w:rPr>
          <w:rFonts w:ascii="Calibri" w:hAnsi="Calibri"/>
        </w:rPr>
        <w:tab/>
        <w:t>…………………………………</w:t>
      </w:r>
    </w:p>
    <w:p w14:paraId="005BADE1" w14:textId="3E09D6E9" w:rsidR="00C87690" w:rsidRDefault="00CF5E28">
      <w:pPr>
        <w:pStyle w:val="BodyText"/>
        <w:tabs>
          <w:tab w:val="left" w:pos="2835"/>
        </w:tabs>
        <w:jc w:val="left"/>
      </w:pPr>
      <w:r>
        <w:rPr>
          <w:rFonts w:ascii="Calibri" w:hAnsi="Calibri"/>
        </w:rPr>
        <w:t>Author(s) / Submitter(s)</w:t>
      </w:r>
      <w:r>
        <w:rPr>
          <w:rFonts w:ascii="Calibri" w:hAnsi="Calibri"/>
        </w:rPr>
        <w:tab/>
      </w:r>
      <w:r>
        <w:rPr>
          <w:rFonts w:ascii="Calibri" w:hAnsi="Calibri"/>
        </w:rPr>
        <w:tab/>
      </w:r>
      <w:r>
        <w:rPr>
          <w:rFonts w:ascii="Calibri" w:hAnsi="Calibri"/>
        </w:rPr>
        <w:tab/>
        <w:t>DLR, Germany</w:t>
      </w:r>
      <w:r>
        <w:rPr>
          <w:rFonts w:ascii="Calibri" w:hAnsi="Calibri"/>
        </w:rPr>
        <w:br/>
      </w:r>
      <w:r>
        <w:rPr>
          <w:rFonts w:ascii="Calibri" w:hAnsi="Calibri"/>
        </w:rPr>
        <w:tab/>
      </w:r>
      <w:r>
        <w:rPr>
          <w:rFonts w:ascii="Calibri" w:hAnsi="Calibri"/>
        </w:rPr>
        <w:tab/>
      </w:r>
      <w:r>
        <w:rPr>
          <w:rFonts w:ascii="Calibri" w:hAnsi="Calibri"/>
        </w:rPr>
        <w:tab/>
      </w:r>
      <w:proofErr w:type="spellStart"/>
      <w:r>
        <w:rPr>
          <w:rFonts w:ascii="Calibri" w:hAnsi="Calibri"/>
        </w:rPr>
        <w:t>Fintraffic</w:t>
      </w:r>
      <w:proofErr w:type="spellEnd"/>
      <w:r>
        <w:rPr>
          <w:rFonts w:ascii="Calibri" w:hAnsi="Calibri"/>
        </w:rPr>
        <w:t>, Finland</w:t>
      </w:r>
      <w:r>
        <w:rPr>
          <w:rFonts w:ascii="Calibri" w:hAnsi="Calibri"/>
        </w:rPr>
        <w:br/>
      </w:r>
      <w:r>
        <w:rPr>
          <w:rFonts w:ascii="Calibri" w:hAnsi="Calibri"/>
        </w:rPr>
        <w:tab/>
      </w:r>
      <w:r>
        <w:rPr>
          <w:rFonts w:ascii="Calibri" w:hAnsi="Calibri"/>
        </w:rPr>
        <w:tab/>
      </w:r>
      <w:r>
        <w:rPr>
          <w:rFonts w:ascii="Calibri" w:hAnsi="Calibri"/>
        </w:rPr>
        <w:tab/>
        <w:t>Finnish Transport Infrastructure Agency, Finland</w:t>
      </w:r>
      <w:r>
        <w:rPr>
          <w:rFonts w:ascii="Calibri" w:hAnsi="Calibri"/>
        </w:rPr>
        <w:br/>
      </w:r>
      <w:r>
        <w:rPr>
          <w:rFonts w:ascii="Calibri" w:hAnsi="Calibri"/>
        </w:rPr>
        <w:tab/>
      </w:r>
      <w:r>
        <w:rPr>
          <w:rFonts w:ascii="Calibri" w:hAnsi="Calibri"/>
        </w:rPr>
        <w:tab/>
      </w:r>
      <w:r>
        <w:rPr>
          <w:rFonts w:ascii="Calibri" w:hAnsi="Calibri"/>
        </w:rPr>
        <w:tab/>
        <w:t>Federal Waterways and Shipping Administration, Germany</w:t>
      </w:r>
      <w:r>
        <w:rPr>
          <w:rFonts w:ascii="Calibri" w:hAnsi="Calibri"/>
        </w:rPr>
        <w:br/>
      </w:r>
      <w:r>
        <w:rPr>
          <w:rFonts w:ascii="Calibri" w:hAnsi="Calibri"/>
        </w:rPr>
        <w:tab/>
      </w:r>
      <w:r>
        <w:rPr>
          <w:rFonts w:ascii="Calibri" w:hAnsi="Calibri"/>
        </w:rPr>
        <w:tab/>
      </w:r>
      <w:r>
        <w:rPr>
          <w:rFonts w:ascii="Calibri" w:hAnsi="Calibri"/>
        </w:rPr>
        <w:tab/>
      </w:r>
      <w:proofErr w:type="spellStart"/>
      <w:r>
        <w:rPr>
          <w:rFonts w:ascii="Calibri" w:hAnsi="Calibri"/>
        </w:rPr>
        <w:t>Vissim</w:t>
      </w:r>
      <w:proofErr w:type="spellEnd"/>
      <w:r>
        <w:rPr>
          <w:rFonts w:ascii="Calibri" w:hAnsi="Calibri"/>
        </w:rPr>
        <w:t>, Norway</w:t>
      </w:r>
      <w:r>
        <w:rPr>
          <w:rFonts w:ascii="Calibri" w:hAnsi="Calibri"/>
        </w:rPr>
        <w:br/>
      </w:r>
      <w:r>
        <w:rPr>
          <w:rFonts w:ascii="Calibri" w:hAnsi="Calibri"/>
        </w:rPr>
        <w:tab/>
      </w:r>
      <w:r>
        <w:rPr>
          <w:rFonts w:ascii="Calibri" w:hAnsi="Calibri"/>
        </w:rPr>
        <w:tab/>
      </w:r>
      <w:r>
        <w:rPr>
          <w:rFonts w:ascii="Calibri" w:hAnsi="Calibri"/>
        </w:rPr>
        <w:tab/>
        <w:t>Maritime Safety Administration, China</w:t>
      </w:r>
    </w:p>
    <w:p w14:paraId="582A3561" w14:textId="77777777" w:rsidR="00C87690" w:rsidRDefault="00CF5E28">
      <w:pPr>
        <w:pStyle w:val="BodyText"/>
        <w:tabs>
          <w:tab w:val="left" w:pos="2835"/>
        </w:tabs>
        <w:rPr>
          <w:rFonts w:ascii="Calibri" w:hAnsi="Calibri"/>
        </w:rPr>
      </w:pPr>
      <w:r>
        <w:rPr>
          <w:rFonts w:ascii="Calibri" w:hAnsi="Calibri"/>
        </w:rPr>
        <w:tab/>
      </w:r>
      <w:r>
        <w:rPr>
          <w:rFonts w:ascii="Calibri" w:hAnsi="Calibri"/>
        </w:rPr>
        <w:tab/>
      </w:r>
      <w:r>
        <w:rPr>
          <w:rFonts w:ascii="Calibri" w:hAnsi="Calibri"/>
        </w:rPr>
        <w:tab/>
      </w:r>
    </w:p>
    <w:p w14:paraId="664E9D42" w14:textId="77777777" w:rsidR="00C87690" w:rsidRDefault="00C87690">
      <w:pPr>
        <w:pStyle w:val="BodyText"/>
        <w:tabs>
          <w:tab w:val="left" w:pos="2835"/>
        </w:tabs>
        <w:rPr>
          <w:rFonts w:ascii="Calibri" w:hAnsi="Calibri"/>
        </w:rPr>
      </w:pPr>
    </w:p>
    <w:p w14:paraId="70F3DF17" w14:textId="77777777" w:rsidR="00C87690" w:rsidRDefault="00CF5E28">
      <w:pPr>
        <w:pStyle w:val="Title"/>
        <w:rPr>
          <w:rFonts w:ascii="Calibri" w:hAnsi="Calibri"/>
          <w:color w:val="0070C0"/>
        </w:rPr>
      </w:pPr>
      <w:r>
        <w:rPr>
          <w:rFonts w:ascii="Calibri" w:hAnsi="Calibri"/>
          <w:color w:val="0070C0"/>
        </w:rPr>
        <w:t>Development of technical service specifications for digital data exchange between VTS and other entities - primarily ships</w:t>
      </w:r>
    </w:p>
    <w:p w14:paraId="56C267B2" w14:textId="77777777" w:rsidR="00C87690" w:rsidRDefault="00CF5E28">
      <w:pPr>
        <w:pStyle w:val="Heading1"/>
      </w:pPr>
      <w:r>
        <w:t>Summary</w:t>
      </w:r>
    </w:p>
    <w:p w14:paraId="7B10F8B1" w14:textId="2E58BD15" w:rsidR="00C87690" w:rsidRDefault="00CF5E28">
      <w:pPr>
        <w:pStyle w:val="BodyText"/>
      </w:pPr>
      <w:r>
        <w:rPr>
          <w:rFonts w:ascii="Calibri" w:hAnsi="Calibri"/>
        </w:rPr>
        <w:t xml:space="preserve">During VTS52, a joint VTS/ENAV task group was formed with the purpose of developing technical service specifications for digital data exchange between VTS and other entities - primarily ships. The technical services will be developed in the </w:t>
      </w:r>
      <w:proofErr w:type="gramStart"/>
      <w:r>
        <w:rPr>
          <w:rFonts w:ascii="Calibri" w:hAnsi="Calibri"/>
        </w:rPr>
        <w:t>same  manner</w:t>
      </w:r>
      <w:proofErr w:type="gramEnd"/>
      <w:r>
        <w:rPr>
          <w:rFonts w:ascii="Calibri" w:hAnsi="Calibri"/>
        </w:rPr>
        <w:t xml:space="preserve"> as IHO is developing a technical service specification for the provisioning of navigational warnings and as IALA is developing technical service specifications for the provisioning of </w:t>
      </w:r>
      <w:proofErr w:type="spellStart"/>
      <w:r>
        <w:rPr>
          <w:rFonts w:ascii="Calibri" w:hAnsi="Calibri"/>
        </w:rPr>
        <w:t>AtoN</w:t>
      </w:r>
      <w:proofErr w:type="spellEnd"/>
      <w:r>
        <w:rPr>
          <w:rFonts w:ascii="Calibri" w:hAnsi="Calibri"/>
        </w:rPr>
        <w:t xml:space="preserve"> information.</w:t>
      </w:r>
    </w:p>
    <w:p w14:paraId="5521A71E" w14:textId="77777777" w:rsidR="00C87690" w:rsidRDefault="00CF5E28">
      <w:pPr>
        <w:pStyle w:val="BodyText"/>
      </w:pPr>
      <w:r>
        <w:rPr>
          <w:rFonts w:ascii="Calibri" w:hAnsi="Calibri"/>
        </w:rPr>
        <w:t>So far, the task group has had two inter-sessional meetings, and will have a physical meeting during VTS53. The group has been discussing the exact definition of the task - how to proceed and the relevant methods/guidelines/standards to be used.</w:t>
      </w:r>
    </w:p>
    <w:p w14:paraId="07151DD1" w14:textId="77777777" w:rsidR="00C87690" w:rsidRDefault="00CF5E28">
      <w:pPr>
        <w:pStyle w:val="BodyText"/>
        <w:rPr>
          <w:rFonts w:ascii="Calibri" w:hAnsi="Calibri"/>
        </w:rPr>
      </w:pPr>
      <w:r>
        <w:rPr>
          <w:rFonts w:ascii="Calibri" w:hAnsi="Calibri"/>
        </w:rPr>
        <w:t>The group will</w:t>
      </w:r>
    </w:p>
    <w:p w14:paraId="50258E53" w14:textId="77777777" w:rsidR="00C87690" w:rsidRDefault="00CF5E28">
      <w:pPr>
        <w:pStyle w:val="BodyText"/>
        <w:ind w:left="720"/>
        <w:rPr>
          <w:rFonts w:ascii="Calibri" w:hAnsi="Calibri"/>
        </w:rPr>
      </w:pPr>
      <w:r>
        <w:rPr>
          <w:rFonts w:ascii="Calibri" w:hAnsi="Calibri"/>
        </w:rPr>
        <w:t>Identify the suite of relevant technical services for VTS (including identifying which are VTS "exclusive" and which are not)</w:t>
      </w:r>
    </w:p>
    <w:p w14:paraId="4BD1F738" w14:textId="77777777" w:rsidR="00C87690" w:rsidRDefault="00CF5E28">
      <w:pPr>
        <w:pStyle w:val="BodyText"/>
        <w:ind w:left="720"/>
      </w:pPr>
      <w:r>
        <w:rPr>
          <w:rFonts w:ascii="Calibri" w:hAnsi="Calibri"/>
        </w:rPr>
        <w:t>Identify a few obvious ("pioneer") technical services and begin the actual specifications of these.</w:t>
      </w:r>
    </w:p>
    <w:p w14:paraId="5105FCDB" w14:textId="1D5A9CB5" w:rsidR="00C87690" w:rsidRDefault="00CF5E28">
      <w:pPr>
        <w:pStyle w:val="BodyText"/>
        <w:rPr>
          <w:rFonts w:asciiTheme="minorHAnsi" w:hAnsiTheme="minorHAnsi" w:cstheme="minorHAnsi"/>
        </w:rPr>
      </w:pPr>
      <w:r w:rsidRPr="007D3CBF">
        <w:rPr>
          <w:rFonts w:asciiTheme="minorHAnsi" w:hAnsiTheme="minorHAnsi" w:cstheme="minorHAnsi"/>
        </w:rPr>
        <w:t xml:space="preserve">The "exclusive" VTS services are services that will not be used by other entities than VTS - and thereby needs to be defined by this group. Other services may be part of the suite of technical services used by VTS - but will be defined elsewhere. For example - most VTS will provide navigational warnings (in S-124 format), but this is within the IHO domain - so the technical service specification for navigational warnings will be developed by </w:t>
      </w:r>
      <w:r>
        <w:rPr>
          <w:rFonts w:asciiTheme="minorHAnsi" w:hAnsiTheme="minorHAnsi" w:cstheme="minorHAnsi"/>
        </w:rPr>
        <w:t xml:space="preserve">IHO but </w:t>
      </w:r>
      <w:r w:rsidRPr="007D3CBF">
        <w:rPr>
          <w:rFonts w:asciiTheme="minorHAnsi" w:hAnsiTheme="minorHAnsi" w:cstheme="minorHAnsi"/>
        </w:rPr>
        <w:t>will still be a service in the suite of VTS services.</w:t>
      </w:r>
    </w:p>
    <w:p w14:paraId="6DC22B68" w14:textId="31AB161C" w:rsidR="00C87690" w:rsidRDefault="00CF5E28">
      <w:pPr>
        <w:pStyle w:val="BodyText"/>
      </w:pPr>
      <w:r>
        <w:t xml:space="preserve">The suite of technical services will be identified based on requirements/use-cases derived from existing documents such as 'G1141 </w:t>
      </w:r>
      <w:hyperlink r:id="rId10">
        <w:r>
          <w:rPr>
            <w:rStyle w:val="Hyperlink"/>
            <w:sz w:val="22"/>
          </w:rPr>
          <w:t>Ed2.1 Operational Procedures for Delivering VTS January 2022</w:t>
        </w:r>
      </w:hyperlink>
      <w:r>
        <w:t xml:space="preserve">' </w:t>
      </w:r>
      <w:r>
        <w:lastRenderedPageBreak/>
        <w:t xml:space="preserve">‘R0127 (V-127) </w:t>
      </w:r>
      <w:hyperlink r:id="rId11">
        <w:r>
          <w:rPr>
            <w:rStyle w:val="Hyperlink"/>
            <w:sz w:val="22"/>
          </w:rPr>
          <w:t>Ed3.2 VTS Operations January 2022</w:t>
        </w:r>
      </w:hyperlink>
      <w:r>
        <w:t>’ and 'G1089 Provision of a VTS'. These requirements will be further refined to a level of detail needed to identify specific technical services.</w:t>
      </w:r>
    </w:p>
    <w:p w14:paraId="4D082A6B" w14:textId="0B7C0BBD" w:rsidR="00C87690" w:rsidRDefault="00CF5E28">
      <w:pPr>
        <w:pStyle w:val="BodyText"/>
      </w:pPr>
      <w:r>
        <w:t>The initial suite of technical services are the ones listed (as associated technical services) in the description of Maritime Service 1 - Vessel Traffic Service. However, the group intends to assess this suite of services.</w:t>
      </w:r>
    </w:p>
    <w:p w14:paraId="4D502B9A" w14:textId="77777777" w:rsidR="00C87690" w:rsidRDefault="00CF5E28">
      <w:pPr>
        <w:pStyle w:val="BodyText"/>
      </w:pPr>
      <w:r>
        <w:t>With regard to identifying a few "pioneer" services, the group is considering:</w:t>
      </w:r>
    </w:p>
    <w:p w14:paraId="17A59FE5" w14:textId="77777777" w:rsidR="00C87690" w:rsidRDefault="00CF5E28">
      <w:pPr>
        <w:pStyle w:val="BodyText"/>
        <w:ind w:left="720"/>
        <w:jc w:val="left"/>
        <w:rPr>
          <w:b/>
          <w:bCs/>
        </w:rPr>
      </w:pPr>
      <w:r>
        <w:rPr>
          <w:b/>
          <w:bCs/>
        </w:rPr>
        <w:t>VTS area information</w:t>
      </w:r>
    </w:p>
    <w:p w14:paraId="47F3CBB7" w14:textId="77777777" w:rsidR="00C87690" w:rsidRDefault="00CF5E28">
      <w:pPr>
        <w:pStyle w:val="BodyText"/>
        <w:ind w:left="720"/>
        <w:jc w:val="left"/>
      </w:pPr>
      <w:r>
        <w:t>Provision of information about the VTS Area circumstances and dynamic features that are relevant to the vessel.</w:t>
      </w:r>
    </w:p>
    <w:p w14:paraId="6EDAF5CF" w14:textId="77777777" w:rsidR="00C87690" w:rsidRDefault="00CF5E28">
      <w:pPr>
        <w:pStyle w:val="BodyText"/>
        <w:ind w:left="720"/>
        <w:jc w:val="left"/>
      </w:pPr>
      <w:r>
        <w:t>This information is broadcasted to all vessels entering a VTS area or within VTS area</w:t>
      </w:r>
    </w:p>
    <w:p w14:paraId="6114E73B" w14:textId="77777777" w:rsidR="00C87690" w:rsidRDefault="00CF5E28">
      <w:pPr>
        <w:pStyle w:val="BodyText"/>
        <w:ind w:left="720"/>
        <w:rPr>
          <w:b/>
          <w:bCs/>
        </w:rPr>
      </w:pPr>
      <w:r>
        <w:rPr>
          <w:b/>
          <w:bCs/>
        </w:rPr>
        <w:t>VTS Traffic Clearance Service</w:t>
      </w:r>
    </w:p>
    <w:p w14:paraId="79F7A4F6" w14:textId="77777777" w:rsidR="00C87690" w:rsidRDefault="00CF5E28">
      <w:pPr>
        <w:pStyle w:val="BodyText"/>
        <w:ind w:left="720"/>
      </w:pPr>
      <w:r>
        <w:t>Retrieve information related to the management of the ship traffic</w:t>
      </w:r>
    </w:p>
    <w:p w14:paraId="2C806C1A" w14:textId="77777777" w:rsidR="00C87690" w:rsidRDefault="00CF5E28">
      <w:pPr>
        <w:pStyle w:val="BodyText"/>
        <w:ind w:left="720"/>
      </w:pPr>
      <w:r>
        <w:t>This information is provided to a specific vessel</w:t>
      </w:r>
    </w:p>
    <w:p w14:paraId="55BFE94D" w14:textId="77777777" w:rsidR="00C87690" w:rsidRDefault="00CF5E28">
      <w:pPr>
        <w:pStyle w:val="BodyText"/>
      </w:pPr>
      <w:r>
        <w:rPr>
          <w:rFonts w:ascii="Calibri" w:hAnsi="Calibri"/>
        </w:rPr>
        <w:t>Annex A is a (proposed) task description for the IALA task registry</w:t>
      </w:r>
    </w:p>
    <w:p w14:paraId="3E66103B" w14:textId="77777777" w:rsidR="00C87690" w:rsidRDefault="00CF5E28">
      <w:pPr>
        <w:pStyle w:val="BodyText"/>
        <w:rPr>
          <w:rFonts w:ascii="Calibri" w:hAnsi="Calibri"/>
        </w:rPr>
      </w:pPr>
      <w:r>
        <w:rPr>
          <w:rFonts w:ascii="Calibri" w:hAnsi="Calibri"/>
        </w:rPr>
        <w:t>Annex B is a list of relevant guidelines/standards and other relevant documents that will be used in the development of the technical services specifications.</w:t>
      </w:r>
    </w:p>
    <w:p w14:paraId="6C89786E" w14:textId="77777777" w:rsidR="00C87690" w:rsidRDefault="00CF5E28">
      <w:pPr>
        <w:pStyle w:val="Heading1"/>
      </w:pPr>
      <w:r>
        <w:t>Action requested of the Committee</w:t>
      </w:r>
    </w:p>
    <w:p w14:paraId="70DDFB5C" w14:textId="77777777" w:rsidR="00C87690" w:rsidRDefault="00CF5E28">
      <w:pPr>
        <w:pStyle w:val="BodyText"/>
        <w:rPr>
          <w:rFonts w:ascii="Calibri" w:hAnsi="Calibri"/>
        </w:rPr>
        <w:sectPr w:rsidR="00C87690">
          <w:headerReference w:type="default" r:id="rId12"/>
          <w:footerReference w:type="default" r:id="rId13"/>
          <w:headerReference w:type="first" r:id="rId14"/>
          <w:pgSz w:w="11906" w:h="16838"/>
          <w:pgMar w:top="766" w:right="991" w:bottom="1134" w:left="1134" w:header="709" w:footer="709" w:gutter="0"/>
          <w:cols w:space="720"/>
          <w:formProt w:val="0"/>
          <w:titlePg/>
          <w:docGrid w:linePitch="360"/>
        </w:sectPr>
      </w:pPr>
      <w:r>
        <w:rPr>
          <w:rFonts w:ascii="Calibri" w:hAnsi="Calibri"/>
        </w:rPr>
        <w:t>To take note of the information. And any interested parties are encouraged to join the task group and contribute to the work.</w:t>
      </w:r>
    </w:p>
    <w:p w14:paraId="0F00EBBD" w14:textId="77777777" w:rsidR="00C87690" w:rsidRDefault="00CF5E28">
      <w:pPr>
        <w:pStyle w:val="Annex"/>
        <w:jc w:val="center"/>
        <w:rPr>
          <w:color w:val="4F81BD"/>
          <w:lang w:eastAsia="en-US"/>
        </w:rPr>
      </w:pPr>
      <w:r>
        <w:rPr>
          <w:color w:val="4F81BD"/>
          <w:lang w:eastAsia="en-US"/>
        </w:rPr>
        <w:lastRenderedPageBreak/>
        <w:t>Annex A</w:t>
      </w:r>
    </w:p>
    <w:p w14:paraId="31607A1E" w14:textId="77777777" w:rsidR="00C87690" w:rsidRDefault="00C87690"/>
    <w:tbl>
      <w:tblPr>
        <w:tblW w:w="9606" w:type="dxa"/>
        <w:tblLayout w:type="fixed"/>
        <w:tblLook w:val="0000" w:firstRow="0" w:lastRow="0" w:firstColumn="0" w:lastColumn="0" w:noHBand="0" w:noVBand="0"/>
      </w:tblPr>
      <w:tblGrid>
        <w:gridCol w:w="2238"/>
        <w:gridCol w:w="2547"/>
        <w:gridCol w:w="2268"/>
        <w:gridCol w:w="2553"/>
      </w:tblGrid>
      <w:tr w:rsidR="00C87690" w14:paraId="064F9DBE" w14:textId="77777777">
        <w:trPr>
          <w:cantSplit/>
          <w:trHeight w:val="428"/>
        </w:trPr>
        <w:tc>
          <w:tcPr>
            <w:tcW w:w="9605" w:type="dxa"/>
            <w:gridSpan w:val="4"/>
            <w:tcBorders>
              <w:top w:val="single" w:sz="4" w:space="0" w:color="000000"/>
              <w:left w:val="single" w:sz="4" w:space="0" w:color="000000"/>
              <w:bottom w:val="single" w:sz="4" w:space="0" w:color="000000"/>
              <w:right w:val="single" w:sz="4" w:space="0" w:color="000000"/>
            </w:tcBorders>
            <w:shd w:val="clear" w:color="auto" w:fill="DDD9C3"/>
          </w:tcPr>
          <w:p w14:paraId="5D399D2D"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center"/>
              <w:rPr>
                <w:bCs/>
                <w:iCs/>
                <w:lang w:eastAsia="zh-CN"/>
              </w:rPr>
            </w:pPr>
            <w:r>
              <w:rPr>
                <w:b/>
                <w:bCs/>
                <w:iCs/>
                <w:lang w:eastAsia="zh-CN"/>
              </w:rPr>
              <w:t>VTS</w:t>
            </w:r>
            <w:r>
              <w:rPr>
                <w:rFonts w:cs="Arial"/>
                <w:b/>
                <w:bCs/>
                <w:iCs/>
                <w:lang w:eastAsia="zh-CN"/>
              </w:rPr>
              <w:t xml:space="preserve"> </w:t>
            </w:r>
            <w:r>
              <w:rPr>
                <w:rFonts w:eastAsia="SimSun" w:cs="Arial"/>
                <w:b/>
                <w:bCs/>
                <w:iCs/>
                <w:lang w:eastAsia="zh-CN"/>
              </w:rPr>
              <w:t>COMMITTEE WORK PLAN</w:t>
            </w:r>
            <w:r>
              <w:rPr>
                <w:rFonts w:ascii="SimSun" w:eastAsia="SimSun" w:hAnsi="SimSun" w:cs="SimSun"/>
                <w:b/>
                <w:bCs/>
                <w:iCs/>
                <w:lang w:eastAsia="zh-CN"/>
              </w:rPr>
              <w:t xml:space="preserve"> </w:t>
            </w:r>
            <w:r>
              <w:rPr>
                <w:b/>
                <w:bCs/>
                <w:iCs/>
                <w:lang w:eastAsia="zh-CN"/>
              </w:rPr>
              <w:t>2023-2027</w:t>
            </w:r>
          </w:p>
        </w:tc>
      </w:tr>
      <w:tr w:rsidR="00C87690" w:rsidRPr="007D3CBF" w14:paraId="5E4A840F" w14:textId="77777777">
        <w:trPr>
          <w:cantSplit/>
          <w:trHeight w:val="428"/>
        </w:trPr>
        <w:tc>
          <w:tcPr>
            <w:tcW w:w="2237" w:type="dxa"/>
            <w:tcBorders>
              <w:top w:val="single" w:sz="4" w:space="0" w:color="000000"/>
              <w:left w:val="single" w:sz="4" w:space="0" w:color="000000"/>
              <w:bottom w:val="single" w:sz="4" w:space="0" w:color="000000"/>
              <w:right w:val="single" w:sz="4" w:space="0" w:color="000000"/>
            </w:tcBorders>
          </w:tcPr>
          <w:p w14:paraId="3763460F"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Standard No</w:t>
            </w:r>
          </w:p>
        </w:tc>
        <w:tc>
          <w:tcPr>
            <w:tcW w:w="7368" w:type="dxa"/>
            <w:gridSpan w:val="3"/>
            <w:tcBorders>
              <w:top w:val="single" w:sz="4" w:space="0" w:color="000000"/>
              <w:left w:val="single" w:sz="4" w:space="0" w:color="000000"/>
              <w:bottom w:val="single" w:sz="4" w:space="0" w:color="000000"/>
              <w:right w:val="single" w:sz="4" w:space="0" w:color="000000"/>
            </w:tcBorders>
          </w:tcPr>
          <w:p w14:paraId="76838496" w14:textId="77777777" w:rsidR="00C87690" w:rsidRPr="007D3CBF"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sz w:val="20"/>
                <w:szCs w:val="20"/>
                <w:lang w:val="fr-FR"/>
              </w:rPr>
            </w:pPr>
            <w:r w:rsidRPr="007D3CBF">
              <w:rPr>
                <w:sz w:val="20"/>
                <w:szCs w:val="20"/>
                <w:lang w:val="fr-FR"/>
              </w:rPr>
              <w:t>1040 - Vessel Traffic Services</w:t>
            </w:r>
          </w:p>
          <w:p w14:paraId="2E827836" w14:textId="77777777" w:rsidR="00C87690" w:rsidRPr="007D3CBF"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sz w:val="20"/>
                <w:szCs w:val="20"/>
                <w:lang w:val="fr-FR"/>
              </w:rPr>
            </w:pPr>
            <w:r w:rsidRPr="007D3CBF">
              <w:rPr>
                <w:sz w:val="20"/>
                <w:szCs w:val="20"/>
                <w:lang w:val="fr-FR"/>
              </w:rPr>
              <w:t>1070 – Information services</w:t>
            </w:r>
          </w:p>
        </w:tc>
      </w:tr>
      <w:tr w:rsidR="00C87690" w14:paraId="1C62E786" w14:textId="77777777">
        <w:trPr>
          <w:cantSplit/>
          <w:trHeight w:val="491"/>
        </w:trPr>
        <w:tc>
          <w:tcPr>
            <w:tcW w:w="2237" w:type="dxa"/>
            <w:tcBorders>
              <w:top w:val="single" w:sz="4" w:space="0" w:color="000000"/>
              <w:left w:val="single" w:sz="4" w:space="0" w:color="000000"/>
              <w:bottom w:val="single" w:sz="4" w:space="0" w:color="000000"/>
              <w:right w:val="single" w:sz="4" w:space="0" w:color="000000"/>
            </w:tcBorders>
          </w:tcPr>
          <w:p w14:paraId="6BB9287C"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Topic Area/Scope</w:t>
            </w:r>
          </w:p>
          <w:p w14:paraId="3953129C"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
                <w:iCs/>
                <w:sz w:val="16"/>
                <w:szCs w:val="16"/>
              </w:rPr>
            </w:pPr>
            <w:r>
              <w:rPr>
                <w:bCs/>
                <w:i/>
                <w:iCs/>
                <w:sz w:val="16"/>
                <w:szCs w:val="16"/>
              </w:rPr>
              <w:t>(See Standard or Work Programme 2023-2028)</w:t>
            </w:r>
          </w:p>
        </w:tc>
        <w:tc>
          <w:tcPr>
            <w:tcW w:w="7368" w:type="dxa"/>
            <w:gridSpan w:val="3"/>
            <w:tcBorders>
              <w:top w:val="single" w:sz="4" w:space="0" w:color="000000"/>
              <w:left w:val="single" w:sz="4" w:space="0" w:color="000000"/>
              <w:bottom w:val="single" w:sz="4" w:space="0" w:color="000000"/>
              <w:right w:val="single" w:sz="4" w:space="0" w:color="000000"/>
            </w:tcBorders>
          </w:tcPr>
          <w:p w14:paraId="42FDC45C" w14:textId="77777777" w:rsidR="00C87690" w:rsidRDefault="00CF5E28">
            <w:pPr>
              <w:widowControl w:val="0"/>
              <w:spacing w:before="60" w:after="120"/>
              <w:rPr>
                <w:sz w:val="20"/>
                <w:szCs w:val="20"/>
              </w:rPr>
            </w:pPr>
            <w:r>
              <w:rPr>
                <w:sz w:val="20"/>
                <w:szCs w:val="20"/>
              </w:rPr>
              <w:t>S1040-3 VTS data and information management</w:t>
            </w:r>
          </w:p>
        </w:tc>
      </w:tr>
      <w:tr w:rsidR="00C87690" w14:paraId="6C2E08AC" w14:textId="77777777">
        <w:trPr>
          <w:cantSplit/>
          <w:trHeight w:val="854"/>
        </w:trPr>
        <w:tc>
          <w:tcPr>
            <w:tcW w:w="2237" w:type="dxa"/>
            <w:tcBorders>
              <w:top w:val="single" w:sz="4" w:space="0" w:color="000000"/>
              <w:left w:val="single" w:sz="4" w:space="0" w:color="000000"/>
              <w:bottom w:val="single" w:sz="4" w:space="0" w:color="000000"/>
              <w:right w:val="single" w:sz="4" w:space="0" w:color="000000"/>
            </w:tcBorders>
          </w:tcPr>
          <w:p w14:paraId="1958BAF3"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Strategic Alignment</w:t>
            </w:r>
          </w:p>
          <w:p w14:paraId="7C08C9C0"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
                <w:iCs/>
                <w:sz w:val="16"/>
                <w:szCs w:val="16"/>
              </w:rPr>
            </w:pPr>
            <w:r>
              <w:rPr>
                <w:bCs/>
                <w:i/>
                <w:iCs/>
                <w:sz w:val="16"/>
                <w:szCs w:val="16"/>
              </w:rPr>
              <w:t>(See IALA Strategic Vision)</w:t>
            </w:r>
          </w:p>
        </w:tc>
        <w:tc>
          <w:tcPr>
            <w:tcW w:w="7368" w:type="dxa"/>
            <w:gridSpan w:val="3"/>
            <w:tcBorders>
              <w:top w:val="single" w:sz="4" w:space="0" w:color="000000"/>
              <w:left w:val="single" w:sz="4" w:space="0" w:color="000000"/>
              <w:bottom w:val="single" w:sz="4" w:space="0" w:color="000000"/>
              <w:right w:val="single" w:sz="4" w:space="0" w:color="000000"/>
            </w:tcBorders>
          </w:tcPr>
          <w:p w14:paraId="7830C3E8"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sz w:val="20"/>
              </w:rPr>
            </w:pPr>
            <w:r>
              <w:rPr>
                <w:b/>
                <w:sz w:val="20"/>
              </w:rPr>
              <w:t>Goal:</w:t>
            </w:r>
            <w:r>
              <w:rPr>
                <w:bCs/>
                <w:iCs/>
                <w:sz w:val="20"/>
              </w:rPr>
              <w:t xml:space="preserve"> G1 – Marine Aids to Navigation are developed and harmonised through international cooperation and the provision of standards.</w:t>
            </w:r>
          </w:p>
          <w:p w14:paraId="01D8908C" w14:textId="77777777" w:rsidR="00C87690" w:rsidRDefault="00CF5E28">
            <w:pPr>
              <w:pStyle w:val="BodyText3"/>
              <w:widowControl w:val="0"/>
              <w:spacing w:before="60"/>
              <w:ind w:left="0"/>
              <w:jc w:val="both"/>
            </w:pPr>
            <w:r>
              <w:rPr>
                <w:b/>
                <w:i w:val="0"/>
                <w:sz w:val="20"/>
              </w:rPr>
              <w:t xml:space="preserve">Strategy: </w:t>
            </w:r>
            <w:r>
              <w:rPr>
                <w:i w:val="0"/>
                <w:sz w:val="20"/>
              </w:rPr>
              <w:t xml:space="preserve">S6 - Improve and harmonise the delivery of VTS globally and in a manner consistent with international conventions, national </w:t>
            </w:r>
            <w:proofErr w:type="gramStart"/>
            <w:r>
              <w:rPr>
                <w:i w:val="0"/>
                <w:sz w:val="20"/>
              </w:rPr>
              <w:t>legislation</w:t>
            </w:r>
            <w:proofErr w:type="gramEnd"/>
            <w:r>
              <w:rPr>
                <w:i w:val="0"/>
                <w:sz w:val="20"/>
              </w:rPr>
              <w:t xml:space="preserve"> and public expectations, to ensure the safety and efficiency of vessel traffic and to protect the environment.</w:t>
            </w:r>
          </w:p>
        </w:tc>
      </w:tr>
      <w:tr w:rsidR="00C87690" w14:paraId="38610C28" w14:textId="77777777">
        <w:trPr>
          <w:cantSplit/>
          <w:trHeight w:val="712"/>
        </w:trPr>
        <w:tc>
          <w:tcPr>
            <w:tcW w:w="2237" w:type="dxa"/>
            <w:tcBorders>
              <w:top w:val="single" w:sz="4" w:space="0" w:color="000000"/>
              <w:left w:val="single" w:sz="4" w:space="0" w:color="000000"/>
              <w:bottom w:val="single" w:sz="4" w:space="0" w:color="000000"/>
              <w:right w:val="single" w:sz="4" w:space="0" w:color="000000"/>
            </w:tcBorders>
          </w:tcPr>
          <w:p w14:paraId="3D0FA912"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Task</w:t>
            </w:r>
          </w:p>
          <w:p w14:paraId="1CD5E864"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
                <w:iCs/>
                <w:sz w:val="16"/>
                <w:szCs w:val="16"/>
              </w:rPr>
            </w:pPr>
            <w:r>
              <w:rPr>
                <w:bCs/>
                <w:i/>
                <w:iCs/>
                <w:sz w:val="16"/>
                <w:szCs w:val="16"/>
              </w:rPr>
              <w:t>(Proposed task name for new tasks)</w:t>
            </w:r>
          </w:p>
        </w:tc>
        <w:tc>
          <w:tcPr>
            <w:tcW w:w="7368" w:type="dxa"/>
            <w:gridSpan w:val="3"/>
            <w:tcBorders>
              <w:top w:val="single" w:sz="4" w:space="0" w:color="000000"/>
              <w:left w:val="single" w:sz="4" w:space="0" w:color="000000"/>
              <w:bottom w:val="single" w:sz="4" w:space="0" w:color="000000"/>
              <w:right w:val="single" w:sz="4" w:space="0" w:color="000000"/>
            </w:tcBorders>
          </w:tcPr>
          <w:p w14:paraId="5540F76E"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
                <w:iCs/>
                <w:sz w:val="20"/>
                <w:szCs w:val="20"/>
              </w:rPr>
            </w:pPr>
            <w:r>
              <w:rPr>
                <w:bCs/>
                <w:i/>
                <w:iCs/>
                <w:sz w:val="20"/>
                <w:szCs w:val="20"/>
              </w:rPr>
              <w:t>Development of technical service specifications for digital data exchange between VTS and other entities - primarily ships</w:t>
            </w:r>
          </w:p>
        </w:tc>
      </w:tr>
      <w:tr w:rsidR="00C87690" w14:paraId="356744A2" w14:textId="77777777">
        <w:trPr>
          <w:cantSplit/>
          <w:trHeight w:val="466"/>
        </w:trPr>
        <w:tc>
          <w:tcPr>
            <w:tcW w:w="2237" w:type="dxa"/>
            <w:tcBorders>
              <w:top w:val="single" w:sz="4" w:space="0" w:color="000000"/>
              <w:left w:val="single" w:sz="4" w:space="0" w:color="000000"/>
              <w:bottom w:val="single" w:sz="4" w:space="0" w:color="000000"/>
              <w:right w:val="single" w:sz="4" w:space="0" w:color="000000"/>
            </w:tcBorders>
          </w:tcPr>
          <w:p w14:paraId="7E1C2229"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Objectives of the task</w:t>
            </w:r>
          </w:p>
        </w:tc>
        <w:tc>
          <w:tcPr>
            <w:tcW w:w="7368" w:type="dxa"/>
            <w:gridSpan w:val="3"/>
            <w:tcBorders>
              <w:top w:val="single" w:sz="4" w:space="0" w:color="000000"/>
              <w:left w:val="single" w:sz="4" w:space="0" w:color="000000"/>
              <w:bottom w:val="single" w:sz="4" w:space="0" w:color="000000"/>
              <w:right w:val="single" w:sz="4" w:space="0" w:color="000000"/>
            </w:tcBorders>
          </w:tcPr>
          <w:p w14:paraId="1857719D"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Cs/>
                <w:sz w:val="20"/>
                <w:szCs w:val="20"/>
              </w:rPr>
            </w:pPr>
            <w:r>
              <w:rPr>
                <w:bCs/>
                <w:iCs/>
                <w:sz w:val="20"/>
                <w:szCs w:val="20"/>
              </w:rPr>
              <w:t xml:space="preserve">To develop technical service specifications for VTS using the G1128 guideline </w:t>
            </w:r>
            <w:proofErr w:type="gramStart"/>
            <w:r>
              <w:rPr>
                <w:bCs/>
                <w:iCs/>
                <w:sz w:val="20"/>
                <w:szCs w:val="20"/>
              </w:rPr>
              <w:t>‘ Specification</w:t>
            </w:r>
            <w:proofErr w:type="gramEnd"/>
            <w:r>
              <w:rPr>
                <w:bCs/>
                <w:iCs/>
                <w:sz w:val="20"/>
                <w:szCs w:val="20"/>
              </w:rPr>
              <w:t xml:space="preserve"> of e-navigation technical services</w:t>
            </w:r>
          </w:p>
          <w:p w14:paraId="6DAE4B1B" w14:textId="5D2D23B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Cs/>
                <w:sz w:val="20"/>
                <w:szCs w:val="20"/>
              </w:rPr>
            </w:pPr>
            <w:r>
              <w:rPr>
                <w:bCs/>
                <w:iCs/>
                <w:sz w:val="20"/>
                <w:szCs w:val="20"/>
              </w:rPr>
              <w:t>These technical services will be referenced in Maritime Service 1 – Vessel Traffic Service, as associated technical services</w:t>
            </w:r>
          </w:p>
          <w:p w14:paraId="5284380E" w14:textId="77777777" w:rsidR="00C87690" w:rsidRDefault="00C876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Cs/>
                <w:sz w:val="20"/>
                <w:szCs w:val="20"/>
              </w:rPr>
            </w:pPr>
          </w:p>
        </w:tc>
      </w:tr>
      <w:tr w:rsidR="00C87690" w14:paraId="28272A31" w14:textId="77777777">
        <w:trPr>
          <w:cantSplit/>
          <w:trHeight w:val="402"/>
        </w:trPr>
        <w:tc>
          <w:tcPr>
            <w:tcW w:w="2237" w:type="dxa"/>
            <w:tcBorders>
              <w:top w:val="single" w:sz="4" w:space="0" w:color="000000"/>
              <w:left w:val="single" w:sz="4" w:space="0" w:color="000000"/>
              <w:bottom w:val="single" w:sz="4" w:space="0" w:color="000000"/>
              <w:right w:val="single" w:sz="4" w:space="0" w:color="000000"/>
            </w:tcBorders>
          </w:tcPr>
          <w:p w14:paraId="55C0C2A2"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Expected outcome</w:t>
            </w:r>
          </w:p>
          <w:p w14:paraId="5EF79B23"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
                <w:iCs/>
                <w:sz w:val="16"/>
                <w:szCs w:val="16"/>
              </w:rPr>
            </w:pPr>
            <w:r>
              <w:rPr>
                <w:bCs/>
                <w:i/>
                <w:iCs/>
                <w:sz w:val="16"/>
                <w:szCs w:val="16"/>
              </w:rPr>
              <w:t>(</w:t>
            </w:r>
            <w:proofErr w:type="gramStart"/>
            <w:r>
              <w:rPr>
                <w:bCs/>
                <w:i/>
                <w:iCs/>
                <w:sz w:val="16"/>
                <w:szCs w:val="16"/>
              </w:rPr>
              <w:t>e.g.</w:t>
            </w:r>
            <w:proofErr w:type="gramEnd"/>
            <w:r>
              <w:rPr>
                <w:bCs/>
                <w:i/>
                <w:iCs/>
                <w:sz w:val="16"/>
                <w:szCs w:val="16"/>
              </w:rPr>
              <w:t xml:space="preserve"> Recommendation, Guideline, Model Course)</w:t>
            </w:r>
          </w:p>
        </w:tc>
        <w:tc>
          <w:tcPr>
            <w:tcW w:w="7368" w:type="dxa"/>
            <w:gridSpan w:val="3"/>
            <w:tcBorders>
              <w:top w:val="single" w:sz="4" w:space="0" w:color="000000"/>
              <w:left w:val="single" w:sz="4" w:space="0" w:color="000000"/>
              <w:bottom w:val="single" w:sz="4" w:space="0" w:color="000000"/>
              <w:right w:val="single" w:sz="4" w:space="0" w:color="000000"/>
            </w:tcBorders>
          </w:tcPr>
          <w:p w14:paraId="5C078932"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sz w:val="20"/>
                <w:szCs w:val="20"/>
              </w:rPr>
            </w:pPr>
            <w:r>
              <w:rPr>
                <w:bCs/>
                <w:sz w:val="20"/>
                <w:szCs w:val="20"/>
              </w:rPr>
              <w:t>A number of technical service specifications</w:t>
            </w:r>
          </w:p>
        </w:tc>
      </w:tr>
      <w:tr w:rsidR="00C87690" w14:paraId="6C227FEB" w14:textId="77777777">
        <w:trPr>
          <w:cantSplit/>
          <w:trHeight w:val="402"/>
        </w:trPr>
        <w:tc>
          <w:tcPr>
            <w:tcW w:w="2237" w:type="dxa"/>
            <w:tcBorders>
              <w:top w:val="single" w:sz="4" w:space="0" w:color="000000"/>
              <w:left w:val="single" w:sz="4" w:space="0" w:color="000000"/>
              <w:bottom w:val="single" w:sz="4" w:space="0" w:color="000000"/>
              <w:right w:val="single" w:sz="4" w:space="0" w:color="000000"/>
            </w:tcBorders>
          </w:tcPr>
          <w:p w14:paraId="018A6A47"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Compelling need</w:t>
            </w:r>
          </w:p>
          <w:p w14:paraId="361BDC6B"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
                <w:iCs/>
                <w:sz w:val="16"/>
                <w:szCs w:val="16"/>
              </w:rPr>
            </w:pPr>
            <w:r>
              <w:rPr>
                <w:bCs/>
                <w:i/>
                <w:iCs/>
                <w:sz w:val="16"/>
                <w:szCs w:val="16"/>
              </w:rPr>
              <w:t>(Describe briefly why this task should be included in the Work Programme)</w:t>
            </w:r>
          </w:p>
        </w:tc>
        <w:tc>
          <w:tcPr>
            <w:tcW w:w="7368" w:type="dxa"/>
            <w:gridSpan w:val="3"/>
            <w:tcBorders>
              <w:top w:val="single" w:sz="4" w:space="0" w:color="000000"/>
              <w:left w:val="single" w:sz="4" w:space="0" w:color="000000"/>
              <w:bottom w:val="single" w:sz="4" w:space="0" w:color="000000"/>
              <w:right w:val="single" w:sz="4" w:space="0" w:color="000000"/>
            </w:tcBorders>
          </w:tcPr>
          <w:p w14:paraId="65E3B84E" w14:textId="77777777" w:rsidR="00C87690" w:rsidRDefault="00CF5E28">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ind w:left="0"/>
              <w:rPr>
                <w:bCs/>
                <w:iCs/>
                <w:sz w:val="20"/>
                <w:szCs w:val="20"/>
              </w:rPr>
            </w:pPr>
            <w:r>
              <w:rPr>
                <w:bCs/>
                <w:iCs/>
                <w:sz w:val="20"/>
                <w:szCs w:val="20"/>
              </w:rPr>
              <w:t>The technical service specifications will enable VTS providers and related stakeholders such as ship equipment manufacturers to implement technical services and thus enable them to exchange digital information securely and reliably. This will bring VTS into the digital era with all the associated benefits including support for the future of MASS.</w:t>
            </w:r>
          </w:p>
        </w:tc>
      </w:tr>
      <w:tr w:rsidR="00C87690" w14:paraId="3D2CDEE6" w14:textId="77777777">
        <w:trPr>
          <w:cantSplit/>
          <w:trHeight w:val="615"/>
        </w:trPr>
        <w:tc>
          <w:tcPr>
            <w:tcW w:w="2237" w:type="dxa"/>
            <w:tcBorders>
              <w:top w:val="single" w:sz="4" w:space="0" w:color="000000"/>
              <w:left w:val="single" w:sz="4" w:space="0" w:color="000000"/>
              <w:bottom w:val="single" w:sz="4" w:space="0" w:color="000000"/>
              <w:right w:val="single" w:sz="4" w:space="0" w:color="000000"/>
            </w:tcBorders>
          </w:tcPr>
          <w:p w14:paraId="029256AE"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Scope</w:t>
            </w:r>
          </w:p>
          <w:p w14:paraId="431411E0"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
                <w:iCs/>
                <w:sz w:val="16"/>
                <w:szCs w:val="16"/>
              </w:rPr>
            </w:pPr>
            <w:r>
              <w:rPr>
                <w:bCs/>
                <w:i/>
                <w:iCs/>
                <w:sz w:val="16"/>
                <w:szCs w:val="16"/>
              </w:rPr>
              <w:t xml:space="preserve">(Describe key items to be </w:t>
            </w:r>
            <w:proofErr w:type="gramStart"/>
            <w:r>
              <w:rPr>
                <w:bCs/>
                <w:i/>
                <w:iCs/>
                <w:sz w:val="16"/>
                <w:szCs w:val="16"/>
              </w:rPr>
              <w:t>taken into account</w:t>
            </w:r>
            <w:proofErr w:type="gramEnd"/>
            <w:r>
              <w:rPr>
                <w:bCs/>
                <w:i/>
                <w:iCs/>
                <w:sz w:val="16"/>
                <w:szCs w:val="16"/>
              </w:rPr>
              <w:t xml:space="preserve"> as well as what is not included)</w:t>
            </w:r>
          </w:p>
        </w:tc>
        <w:tc>
          <w:tcPr>
            <w:tcW w:w="7368" w:type="dxa"/>
            <w:gridSpan w:val="3"/>
            <w:tcBorders>
              <w:top w:val="single" w:sz="4" w:space="0" w:color="000000"/>
              <w:left w:val="single" w:sz="4" w:space="0" w:color="000000"/>
              <w:bottom w:val="single" w:sz="4" w:space="0" w:color="000000"/>
              <w:right w:val="single" w:sz="4" w:space="0" w:color="000000"/>
            </w:tcBorders>
          </w:tcPr>
          <w:p w14:paraId="73FE8ED9"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iCs/>
                <w:sz w:val="20"/>
                <w:szCs w:val="20"/>
              </w:rPr>
            </w:pPr>
            <w:r>
              <w:rPr>
                <w:iCs/>
                <w:sz w:val="20"/>
                <w:szCs w:val="20"/>
              </w:rPr>
              <w:t>In Scope: Technical service specifications for VTS</w:t>
            </w:r>
          </w:p>
          <w:p w14:paraId="07BB0ED3"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iCs/>
                <w:sz w:val="20"/>
                <w:szCs w:val="20"/>
              </w:rPr>
            </w:pPr>
            <w:r>
              <w:rPr>
                <w:iCs/>
                <w:sz w:val="20"/>
                <w:szCs w:val="20"/>
              </w:rPr>
              <w:t>Out of scope:</w:t>
            </w:r>
          </w:p>
          <w:p w14:paraId="2E346F06" w14:textId="27BFFA53"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iCs/>
                <w:sz w:val="20"/>
                <w:szCs w:val="20"/>
              </w:rPr>
            </w:pPr>
            <w:r>
              <w:rPr>
                <w:iCs/>
                <w:sz w:val="20"/>
                <w:szCs w:val="20"/>
              </w:rPr>
              <w:t xml:space="preserve">Technical service specifications for services that may be provided by VTS – but inherently belong to a different domain. These could be navigational warnings, water levels, </w:t>
            </w:r>
            <w:proofErr w:type="spellStart"/>
            <w:r>
              <w:rPr>
                <w:iCs/>
                <w:sz w:val="20"/>
                <w:szCs w:val="20"/>
              </w:rPr>
              <w:t>AtoN</w:t>
            </w:r>
            <w:proofErr w:type="spellEnd"/>
            <w:r>
              <w:rPr>
                <w:iCs/>
                <w:sz w:val="20"/>
                <w:szCs w:val="20"/>
              </w:rPr>
              <w:t xml:space="preserve"> information etc.</w:t>
            </w:r>
          </w:p>
          <w:p w14:paraId="2C93FFC3"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iCs/>
                <w:sz w:val="20"/>
                <w:szCs w:val="20"/>
              </w:rPr>
            </w:pPr>
            <w:r>
              <w:rPr>
                <w:iCs/>
                <w:sz w:val="20"/>
                <w:szCs w:val="20"/>
              </w:rPr>
              <w:t>Also, data-models and portrayal will not be considered (but feedback to work done on these items may be relevant to provide).</w:t>
            </w:r>
          </w:p>
          <w:p w14:paraId="44C7B9BA" w14:textId="77777777" w:rsidR="00C87690" w:rsidRDefault="00C876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iCs/>
                <w:sz w:val="20"/>
                <w:szCs w:val="20"/>
                <w:lang w:eastAsia="zh-CN"/>
              </w:rPr>
            </w:pPr>
          </w:p>
        </w:tc>
      </w:tr>
      <w:tr w:rsidR="00C87690" w14:paraId="4E9278A9" w14:textId="77777777">
        <w:trPr>
          <w:cantSplit/>
          <w:trHeight w:val="1399"/>
        </w:trPr>
        <w:tc>
          <w:tcPr>
            <w:tcW w:w="2237" w:type="dxa"/>
            <w:tcBorders>
              <w:top w:val="single" w:sz="4" w:space="0" w:color="000000"/>
              <w:left w:val="single" w:sz="4" w:space="0" w:color="000000"/>
              <w:bottom w:val="single" w:sz="4" w:space="0" w:color="000000"/>
              <w:right w:val="single" w:sz="4" w:space="0" w:color="000000"/>
            </w:tcBorders>
          </w:tcPr>
          <w:p w14:paraId="7D6FFE95"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Brief and concise description of the work to be undertaken and programme mile</w:t>
            </w:r>
            <w:r>
              <w:rPr>
                <w:b/>
                <w:bCs/>
                <w:iCs/>
                <w:sz w:val="20"/>
                <w:szCs w:val="20"/>
              </w:rPr>
              <w:softHyphen/>
              <w:t>stones</w:t>
            </w:r>
          </w:p>
        </w:tc>
        <w:tc>
          <w:tcPr>
            <w:tcW w:w="7368" w:type="dxa"/>
            <w:gridSpan w:val="3"/>
            <w:tcBorders>
              <w:top w:val="single" w:sz="4" w:space="0" w:color="000000"/>
              <w:left w:val="single" w:sz="4" w:space="0" w:color="000000"/>
              <w:bottom w:val="single" w:sz="4" w:space="0" w:color="000000"/>
              <w:right w:val="single" w:sz="4" w:space="0" w:color="000000"/>
            </w:tcBorders>
          </w:tcPr>
          <w:p w14:paraId="4C86A2F3"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Cs/>
                <w:sz w:val="20"/>
                <w:szCs w:val="20"/>
              </w:rPr>
            </w:pPr>
            <w:r>
              <w:rPr>
                <w:bCs/>
                <w:iCs/>
                <w:sz w:val="20"/>
                <w:szCs w:val="20"/>
              </w:rPr>
              <w:t>The task will work on developing technical service specifications for VTS using a number of existing guidelines and standards.</w:t>
            </w:r>
          </w:p>
          <w:p w14:paraId="642611D4"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Cs/>
                <w:sz w:val="20"/>
                <w:szCs w:val="20"/>
              </w:rPr>
            </w:pPr>
            <w:r>
              <w:rPr>
                <w:bCs/>
                <w:iCs/>
                <w:sz w:val="20"/>
                <w:szCs w:val="20"/>
              </w:rPr>
              <w:t>The main guideline will be G1128 'Specification of e-navigation technical services'. This provides the overall guideline for developing the specifications which is aligned with the template for technical services provided in IMO MSC.467(101) 'Guidance on the definition and harmonization of the format and structure of Maritime Services in the context of e-navigation'.</w:t>
            </w:r>
          </w:p>
          <w:p w14:paraId="2386CBC8"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Cs/>
                <w:sz w:val="20"/>
                <w:szCs w:val="20"/>
              </w:rPr>
            </w:pPr>
            <w:r>
              <w:rPr>
                <w:bCs/>
                <w:iCs/>
                <w:sz w:val="20"/>
                <w:szCs w:val="20"/>
              </w:rPr>
              <w:t>Other relevant guidelines/standards include</w:t>
            </w:r>
          </w:p>
          <w:p w14:paraId="0544825D" w14:textId="77777777" w:rsidR="00C87690" w:rsidRDefault="00CF5E28">
            <w:pPr>
              <w:widowControl w:val="0"/>
              <w:numPr>
                <w:ilvl w:val="0"/>
                <w:numId w:val="14"/>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Cs/>
                <w:sz w:val="20"/>
                <w:szCs w:val="20"/>
              </w:rPr>
            </w:pPr>
            <w:r>
              <w:rPr>
                <w:bCs/>
                <w:iCs/>
                <w:sz w:val="20"/>
                <w:szCs w:val="20"/>
              </w:rPr>
              <w:t>G1157 'Web Service Based S-100 Data Exchange'</w:t>
            </w:r>
          </w:p>
          <w:p w14:paraId="3049E0EF" w14:textId="77777777" w:rsidR="00C87690" w:rsidRDefault="00CF5E28">
            <w:pPr>
              <w:widowControl w:val="0"/>
              <w:numPr>
                <w:ilvl w:val="0"/>
                <w:numId w:val="14"/>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Cs/>
                <w:sz w:val="20"/>
                <w:szCs w:val="20"/>
              </w:rPr>
            </w:pPr>
            <w:r>
              <w:rPr>
                <w:bCs/>
                <w:iCs/>
                <w:sz w:val="20"/>
                <w:szCs w:val="20"/>
              </w:rPr>
              <w:t>IEC 63173-2 'Secure exchange and communication of S-100 based products' (SECOM)</w:t>
            </w:r>
          </w:p>
          <w:p w14:paraId="1D46FEAD" w14:textId="77777777" w:rsidR="00C87690" w:rsidRDefault="00CF5E28">
            <w:pPr>
              <w:widowControl w:val="0"/>
              <w:numPr>
                <w:ilvl w:val="0"/>
                <w:numId w:val="14"/>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Cs/>
                <w:iCs/>
                <w:sz w:val="20"/>
                <w:szCs w:val="20"/>
              </w:rPr>
            </w:pPr>
            <w:r>
              <w:rPr>
                <w:bCs/>
                <w:iCs/>
                <w:sz w:val="20"/>
                <w:szCs w:val="20"/>
              </w:rPr>
              <w:t>IALA G1143 'Unique identifiers for maritime resources'</w:t>
            </w:r>
          </w:p>
          <w:p w14:paraId="47A5021F" w14:textId="0AF309A3" w:rsidR="00C87690" w:rsidRDefault="00CF5E28">
            <w:pPr>
              <w:widowControl w:val="0"/>
              <w:numPr>
                <w:ilvl w:val="0"/>
                <w:numId w:val="14"/>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IALA G1161  ‘</w:t>
            </w:r>
            <w:hyperlink r:id="rId15">
              <w:r>
                <w:rPr>
                  <w:rStyle w:val="Hyperlink"/>
                  <w:bCs/>
                  <w:iCs/>
                  <w:szCs w:val="20"/>
                </w:rPr>
                <w:t>Evaluation of Platforms for the Provision of Maritime Services’</w:t>
              </w:r>
            </w:hyperlink>
          </w:p>
          <w:p w14:paraId="204F3FD9" w14:textId="77777777" w:rsidR="00C87690" w:rsidRDefault="00CF5E28">
            <w:pPr>
              <w:widowControl w:val="0"/>
              <w:numPr>
                <w:ilvl w:val="0"/>
                <w:numId w:val="14"/>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R0127 (V-127) VTS Operations</w:t>
            </w:r>
          </w:p>
          <w:p w14:paraId="1B51207B" w14:textId="77777777" w:rsidR="00C87690" w:rsidRDefault="00CF5E28">
            <w:pPr>
              <w:widowControl w:val="0"/>
              <w:numPr>
                <w:ilvl w:val="0"/>
                <w:numId w:val="14"/>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G1141 Operational Procedures for Delivering VTS</w:t>
            </w:r>
          </w:p>
          <w:p w14:paraId="1257CE73" w14:textId="77777777" w:rsidR="00C87690" w:rsidRDefault="00CF5E28">
            <w:pPr>
              <w:widowControl w:val="0"/>
              <w:numPr>
                <w:ilvl w:val="0"/>
                <w:numId w:val="14"/>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G1089 Provision of a VTS</w:t>
            </w:r>
          </w:p>
          <w:p w14:paraId="4D97DB5B" w14:textId="28C570A2"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Furthermore – the technical services will be depending on the VTS S-212 product specification with regard to data-model and portrayal.</w:t>
            </w:r>
          </w:p>
          <w:p w14:paraId="55C71A22"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The process (milestones) may be:</w:t>
            </w:r>
          </w:p>
          <w:p w14:paraId="52426FA7" w14:textId="77777777" w:rsidR="00C87690" w:rsidRDefault="00CF5E28">
            <w:pPr>
              <w:widowControl w:val="0"/>
              <w:numPr>
                <w:ilvl w:val="0"/>
                <w:numId w:val="15"/>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Identity technical services</w:t>
            </w:r>
          </w:p>
          <w:p w14:paraId="59C249AF" w14:textId="77777777" w:rsidR="00C87690" w:rsidRDefault="00CF5E28">
            <w:pPr>
              <w:widowControl w:val="0"/>
              <w:numPr>
                <w:ilvl w:val="0"/>
                <w:numId w:val="15"/>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Finalise first (simple) technical service</w:t>
            </w:r>
          </w:p>
          <w:p w14:paraId="0D91AD9F" w14:textId="77777777" w:rsidR="00C87690" w:rsidRDefault="00CF5E28">
            <w:pPr>
              <w:widowControl w:val="0"/>
              <w:numPr>
                <w:ilvl w:val="0"/>
                <w:numId w:val="15"/>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perform testing</w:t>
            </w:r>
          </w:p>
          <w:p w14:paraId="28BE6795" w14:textId="77777777" w:rsidR="00C87690" w:rsidRDefault="00CF5E28">
            <w:pPr>
              <w:widowControl w:val="0"/>
              <w:numPr>
                <w:ilvl w:val="0"/>
                <w:numId w:val="15"/>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Continue specification of all identified services</w:t>
            </w:r>
          </w:p>
          <w:p w14:paraId="2B988929" w14:textId="77777777" w:rsidR="00C87690" w:rsidRDefault="00CF5E28">
            <w:pPr>
              <w:widowControl w:val="0"/>
              <w:numPr>
                <w:ilvl w:val="0"/>
                <w:numId w:val="15"/>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Test</w:t>
            </w:r>
          </w:p>
          <w:p w14:paraId="15D2AF0E" w14:textId="77777777" w:rsidR="00C87690" w:rsidRDefault="00CF5E28">
            <w:pPr>
              <w:widowControl w:val="0"/>
              <w:numPr>
                <w:ilvl w:val="0"/>
                <w:numId w:val="15"/>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Cs/>
                <w:iCs/>
                <w:sz w:val="20"/>
                <w:szCs w:val="20"/>
              </w:rPr>
              <w:t>Complete specifications</w:t>
            </w:r>
          </w:p>
        </w:tc>
      </w:tr>
      <w:tr w:rsidR="00C87690" w14:paraId="5ABDD1FA" w14:textId="77777777">
        <w:trPr>
          <w:cantSplit/>
          <w:trHeight w:val="659"/>
        </w:trPr>
        <w:tc>
          <w:tcPr>
            <w:tcW w:w="2237" w:type="dxa"/>
            <w:tcBorders>
              <w:top w:val="single" w:sz="4" w:space="0" w:color="000000"/>
              <w:left w:val="single" w:sz="4" w:space="0" w:color="000000"/>
              <w:bottom w:val="single" w:sz="4" w:space="0" w:color="000000"/>
              <w:right w:val="single" w:sz="4" w:space="0" w:color="000000"/>
            </w:tcBorders>
          </w:tcPr>
          <w:p w14:paraId="642BDDA9"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Expected numbers of sessions for completion</w:t>
            </w:r>
          </w:p>
        </w:tc>
        <w:tc>
          <w:tcPr>
            <w:tcW w:w="7368" w:type="dxa"/>
            <w:gridSpan w:val="3"/>
            <w:tcBorders>
              <w:top w:val="single" w:sz="4" w:space="0" w:color="000000"/>
              <w:left w:val="single" w:sz="4" w:space="0" w:color="000000"/>
              <w:bottom w:val="single" w:sz="4" w:space="0" w:color="000000"/>
              <w:right w:val="single" w:sz="4" w:space="0" w:color="000000"/>
            </w:tcBorders>
          </w:tcPr>
          <w:p w14:paraId="01E37650" w14:textId="77777777" w:rsidR="00C87690" w:rsidRDefault="00CF5E28">
            <w:pPr>
              <w:pStyle w:val="BodyText3"/>
              <w:widowControl w:val="0"/>
              <w:spacing w:before="60"/>
              <w:ind w:left="0"/>
              <w:jc w:val="both"/>
              <w:rPr>
                <w:sz w:val="20"/>
              </w:rPr>
            </w:pPr>
            <w:r>
              <w:rPr>
                <w:sz w:val="20"/>
              </w:rPr>
              <w:t>Session number:</w:t>
            </w:r>
          </w:p>
          <w:p w14:paraId="0E3E8D58" w14:textId="77777777" w:rsidR="00C87690" w:rsidRDefault="00CF5E28">
            <w:pPr>
              <w:pStyle w:val="BodyText3"/>
              <w:widowControl w:val="0"/>
              <w:tabs>
                <w:tab w:val="clear" w:pos="720"/>
                <w:tab w:val="clear" w:pos="1440"/>
                <w:tab w:val="clear" w:pos="2160"/>
                <w:tab w:val="clear" w:pos="2880"/>
                <w:tab w:val="clear" w:pos="3600"/>
                <w:tab w:val="clear" w:pos="4320"/>
                <w:tab w:val="clear" w:pos="5040"/>
                <w:tab w:val="clear" w:pos="5760"/>
                <w:tab w:val="clear" w:pos="6480"/>
                <w:tab w:val="left" w:pos="1092"/>
                <w:tab w:val="left" w:pos="2085"/>
                <w:tab w:val="left" w:pos="2935"/>
                <w:tab w:val="left" w:pos="3927"/>
                <w:tab w:val="left" w:pos="4920"/>
                <w:tab w:val="left" w:pos="6054"/>
              </w:tabs>
              <w:spacing w:before="60"/>
              <w:ind w:left="244"/>
              <w:jc w:val="both"/>
              <w:rPr>
                <w:sz w:val="20"/>
              </w:rPr>
            </w:pPr>
            <w:r>
              <w:rPr>
                <w:noProof/>
              </w:rPr>
              <mc:AlternateContent>
                <mc:Choice Requires="wps">
                  <w:drawing>
                    <wp:anchor distT="4445" distB="4445" distL="4445" distR="4445" simplePos="0" relativeHeight="14" behindDoc="0" locked="0" layoutInCell="1" allowOverlap="1" wp14:anchorId="033B87FD" wp14:editId="1DDC9E59">
                      <wp:simplePos x="0" y="0"/>
                      <wp:positionH relativeFrom="column">
                        <wp:posOffset>3758565</wp:posOffset>
                      </wp:positionH>
                      <wp:positionV relativeFrom="paragraph">
                        <wp:posOffset>168910</wp:posOffset>
                      </wp:positionV>
                      <wp:extent cx="278765" cy="278765"/>
                      <wp:effectExtent l="0" t="0" r="0" b="0"/>
                      <wp:wrapNone/>
                      <wp:docPr id="5" name="Rectangle 365"/>
                      <wp:cNvGraphicFramePr/>
                      <a:graphic xmlns:a="http://schemas.openxmlformats.org/drawingml/2006/main">
                        <a:graphicData uri="http://schemas.microsoft.com/office/word/2010/wordprocessingShape">
                          <wps:wsp>
                            <wps:cNvSpPr/>
                            <wps:spPr>
                              <a:xfrm>
                                <a:off x="0" y="0"/>
                                <a:ext cx="278280" cy="278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30F3A807" w14:textId="77777777" w:rsidR="00C87690" w:rsidRDefault="00CF5E28">
                                  <w:pPr>
                                    <w:pStyle w:val="FrameContents"/>
                                    <w:widowControl w:val="0"/>
                                    <w:jc w:val="center"/>
                                  </w:pPr>
                                  <w:r>
                                    <w:rPr>
                                      <w:color w:val="000000"/>
                                    </w:rPr>
                                    <w:t>?</w:t>
                                  </w:r>
                                </w:p>
                              </w:txbxContent>
                            </wps:txbx>
                            <wps:bodyPr anchor="t">
                              <a:noAutofit/>
                            </wps:bodyPr>
                          </wps:wsp>
                        </a:graphicData>
                      </a:graphic>
                    </wp:anchor>
                  </w:drawing>
                </mc:Choice>
                <mc:Fallback>
                  <w:pict>
                    <v:rect id="shape_0" ID="Rectangle 365" path="m0,0l-2147483645,0l-2147483645,-2147483646l0,-2147483646xe" fillcolor="white" stroked="t" o:allowincell="t" style="position:absolute;margin-left:295.95pt;margin-top:13.3pt;width:21.85pt;height:21.85pt;mso-wrap-style:square;v-text-anchor:top">
                      <v:fill o:detectmouseclick="t" type="solid" color2="black"/>
                      <v:stroke color="black" weight="9360" joinstyle="miter" endcap="flat"/>
                      <v:textbox>
                        <w:txbxContent>
                          <w:p>
                            <w:pPr>
                              <w:pStyle w:val="FrameContents"/>
                              <w:widowControl w:val="false"/>
                              <w:jc w:val="center"/>
                              <w:rPr/>
                            </w:pPr>
                            <w:r>
                              <w:rPr>
                                <w:color w:val="000000"/>
                              </w:rPr>
                              <w:t>?</w:t>
                            </w:r>
                          </w:p>
                        </w:txbxContent>
                      </v:textbox>
                      <w10:wrap type="none"/>
                    </v:rect>
                  </w:pict>
                </mc:Fallback>
              </mc:AlternateContent>
            </w:r>
            <w:r>
              <w:rPr>
                <w:noProof/>
              </w:rPr>
              <mc:AlternateContent>
                <mc:Choice Requires="wps">
                  <w:drawing>
                    <wp:anchor distT="4445" distB="4445" distL="4445" distR="4445" simplePos="0" relativeHeight="18" behindDoc="0" locked="0" layoutInCell="1" allowOverlap="1" wp14:anchorId="33B380F8" wp14:editId="08678343">
                      <wp:simplePos x="0" y="0"/>
                      <wp:positionH relativeFrom="column">
                        <wp:posOffset>3072130</wp:posOffset>
                      </wp:positionH>
                      <wp:positionV relativeFrom="paragraph">
                        <wp:posOffset>168910</wp:posOffset>
                      </wp:positionV>
                      <wp:extent cx="278765" cy="278765"/>
                      <wp:effectExtent l="0" t="0" r="0" b="0"/>
                      <wp:wrapNone/>
                      <wp:docPr id="7" name="Rectangle 364"/>
                      <wp:cNvGraphicFramePr/>
                      <a:graphic xmlns:a="http://schemas.openxmlformats.org/drawingml/2006/main">
                        <a:graphicData uri="http://schemas.microsoft.com/office/word/2010/wordprocessingShape">
                          <wps:wsp>
                            <wps:cNvSpPr/>
                            <wps:spPr>
                              <a:xfrm>
                                <a:off x="0" y="0"/>
                                <a:ext cx="278280" cy="278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5280AE0" w14:textId="77777777" w:rsidR="00C87690" w:rsidRDefault="00CF5E28">
                                  <w:pPr>
                                    <w:pStyle w:val="FrameContents"/>
                                    <w:widowControl w:val="0"/>
                                    <w:jc w:val="center"/>
                                  </w:pPr>
                                  <w:r>
                                    <w:rPr>
                                      <w:color w:val="000000"/>
                                    </w:rPr>
                                    <w:t>?</w:t>
                                  </w:r>
                                </w:p>
                              </w:txbxContent>
                            </wps:txbx>
                            <wps:bodyPr anchor="t">
                              <a:noAutofit/>
                            </wps:bodyPr>
                          </wps:wsp>
                        </a:graphicData>
                      </a:graphic>
                    </wp:anchor>
                  </w:drawing>
                </mc:Choice>
                <mc:Fallback>
                  <w:pict>
                    <v:rect id="shape_0" ID="Rectangle 364" path="m0,0l-2147483645,0l-2147483645,-2147483646l0,-2147483646xe" fillcolor="white" stroked="t" o:allowincell="t" style="position:absolute;margin-left:241.9pt;margin-top:13.3pt;width:21.85pt;height:21.85pt;mso-wrap-style:square;v-text-anchor:top">
                      <v:fill o:detectmouseclick="t" type="solid" color2="black"/>
                      <v:stroke color="black" weight="9360" joinstyle="miter" endcap="flat"/>
                      <v:textbox>
                        <w:txbxContent>
                          <w:p>
                            <w:pPr>
                              <w:pStyle w:val="FrameContents"/>
                              <w:widowControl w:val="false"/>
                              <w:jc w:val="center"/>
                              <w:rPr/>
                            </w:pPr>
                            <w:r>
                              <w:rPr>
                                <w:color w:val="000000"/>
                              </w:rPr>
                              <w:t>?</w:t>
                            </w:r>
                          </w:p>
                        </w:txbxContent>
                      </v:textbox>
                      <w10:wrap type="none"/>
                    </v:rect>
                  </w:pict>
                </mc:Fallback>
              </mc:AlternateContent>
            </w:r>
            <w:r>
              <w:rPr>
                <w:noProof/>
              </w:rPr>
              <mc:AlternateContent>
                <mc:Choice Requires="wps">
                  <w:drawing>
                    <wp:anchor distT="4445" distB="4445" distL="4445" distR="4445" simplePos="0" relativeHeight="20" behindDoc="0" locked="0" layoutInCell="1" allowOverlap="1" wp14:anchorId="06235AAA" wp14:editId="1559DD83">
                      <wp:simplePos x="0" y="0"/>
                      <wp:positionH relativeFrom="column">
                        <wp:posOffset>2399665</wp:posOffset>
                      </wp:positionH>
                      <wp:positionV relativeFrom="paragraph">
                        <wp:posOffset>168910</wp:posOffset>
                      </wp:positionV>
                      <wp:extent cx="278765" cy="278765"/>
                      <wp:effectExtent l="0" t="0" r="0" b="0"/>
                      <wp:wrapNone/>
                      <wp:docPr id="9" name="Rectangle 363"/>
                      <wp:cNvGraphicFramePr/>
                      <a:graphic xmlns:a="http://schemas.openxmlformats.org/drawingml/2006/main">
                        <a:graphicData uri="http://schemas.microsoft.com/office/word/2010/wordprocessingShape">
                          <wps:wsp>
                            <wps:cNvSpPr/>
                            <wps:spPr>
                              <a:xfrm>
                                <a:off x="0" y="0"/>
                                <a:ext cx="278280" cy="278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0FC8729D" w14:textId="77777777" w:rsidR="00C87690" w:rsidRDefault="00CF5E28">
                                  <w:pPr>
                                    <w:pStyle w:val="FrameContents"/>
                                    <w:widowControl w:val="0"/>
                                    <w:jc w:val="center"/>
                                  </w:pPr>
                                  <w:r>
                                    <w:rPr>
                                      <w:color w:val="000000"/>
                                    </w:rPr>
                                    <w:t>?X</w:t>
                                  </w:r>
                                </w:p>
                              </w:txbxContent>
                            </wps:txbx>
                            <wps:bodyPr anchor="t">
                              <a:noAutofit/>
                            </wps:bodyPr>
                          </wps:wsp>
                        </a:graphicData>
                      </a:graphic>
                    </wp:anchor>
                  </w:drawing>
                </mc:Choice>
                <mc:Fallback>
                  <w:pict>
                    <v:rect id="shape_0" ID="Rectangle 363" path="m0,0l-2147483645,0l-2147483645,-2147483646l0,-2147483646xe" fillcolor="white" stroked="t" o:allowincell="t" style="position:absolute;margin-left:188.95pt;margin-top:13.3pt;width:21.85pt;height:21.85pt;mso-wrap-style:square;v-text-anchor:top">
                      <v:fill o:detectmouseclick="t" type="solid" color2="black"/>
                      <v:stroke color="black" weight="9360" joinstyle="miter" endcap="flat"/>
                      <v:textbox>
                        <w:txbxContent>
                          <w:p>
                            <w:pPr>
                              <w:pStyle w:val="FrameContents"/>
                              <w:widowControl w:val="false"/>
                              <w:jc w:val="center"/>
                              <w:rPr/>
                            </w:pPr>
                            <w:r>
                              <w:rPr>
                                <w:color w:val="000000"/>
                              </w:rPr>
                              <w:t>?X</w:t>
                            </w:r>
                          </w:p>
                        </w:txbxContent>
                      </v:textbox>
                      <w10:wrap type="none"/>
                    </v:rect>
                  </w:pict>
                </mc:Fallback>
              </mc:AlternateContent>
            </w:r>
            <w:r>
              <w:rPr>
                <w:noProof/>
              </w:rPr>
              <mc:AlternateContent>
                <mc:Choice Requires="wps">
                  <w:drawing>
                    <wp:anchor distT="4445" distB="4445" distL="4445" distR="4445" simplePos="0" relativeHeight="22" behindDoc="0" locked="0" layoutInCell="1" allowOverlap="1" wp14:anchorId="3393B572" wp14:editId="44A49B7F">
                      <wp:simplePos x="0" y="0"/>
                      <wp:positionH relativeFrom="column">
                        <wp:posOffset>1793240</wp:posOffset>
                      </wp:positionH>
                      <wp:positionV relativeFrom="paragraph">
                        <wp:posOffset>168910</wp:posOffset>
                      </wp:positionV>
                      <wp:extent cx="278765" cy="278765"/>
                      <wp:effectExtent l="0" t="0" r="0" b="0"/>
                      <wp:wrapNone/>
                      <wp:docPr id="11" name="Rectangle 362"/>
                      <wp:cNvGraphicFramePr/>
                      <a:graphic xmlns:a="http://schemas.openxmlformats.org/drawingml/2006/main">
                        <a:graphicData uri="http://schemas.microsoft.com/office/word/2010/wordprocessingShape">
                          <wps:wsp>
                            <wps:cNvSpPr/>
                            <wps:spPr>
                              <a:xfrm>
                                <a:off x="0" y="0"/>
                                <a:ext cx="278280" cy="278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47EF5610" w14:textId="77777777" w:rsidR="00C87690" w:rsidRDefault="00CF5E28">
                                  <w:pPr>
                                    <w:pStyle w:val="FrameContents"/>
                                    <w:widowControl w:val="0"/>
                                    <w:rPr>
                                      <w:color w:val="000000"/>
                                      <w:lang w:val="nl-NL"/>
                                    </w:rPr>
                                  </w:pPr>
                                  <w:r>
                                    <w:rPr>
                                      <w:color w:val="000000"/>
                                      <w:lang w:val="nl-NL"/>
                                    </w:rPr>
                                    <w:t>X</w:t>
                                  </w:r>
                                </w:p>
                                <w:p w14:paraId="43C57230" w14:textId="77777777" w:rsidR="00C87690" w:rsidRDefault="00CF5E28">
                                  <w:pPr>
                                    <w:pStyle w:val="FrameContents"/>
                                    <w:widowControl w:val="0"/>
                                    <w:jc w:val="center"/>
                                  </w:pPr>
                                  <w:r>
                                    <w:rPr>
                                      <w:color w:val="000000"/>
                                    </w:rPr>
                                    <w:t>XXX</w:t>
                                  </w:r>
                                </w:p>
                              </w:txbxContent>
                            </wps:txbx>
                            <wps:bodyPr anchor="t">
                              <a:noAutofit/>
                            </wps:bodyPr>
                          </wps:wsp>
                        </a:graphicData>
                      </a:graphic>
                    </wp:anchor>
                  </w:drawing>
                </mc:Choice>
                <mc:Fallback>
                  <w:pict>
                    <v:rect id="shape_0" ID="Rectangle 362" path="m0,0l-2147483645,0l-2147483645,-2147483646l0,-2147483646xe" fillcolor="white" stroked="t" o:allowincell="t" style="position:absolute;margin-left:141.2pt;margin-top:13.3pt;width:21.85pt;height:21.85pt;mso-wrap-style:square;v-text-anchor:top">
                      <v:fill o:detectmouseclick="t" type="solid" color2="black"/>
                      <v:stroke color="black" weight="9360" joinstyle="miter" endcap="flat"/>
                      <v:textbox>
                        <w:txbxContent>
                          <w:p>
                            <w:pPr>
                              <w:pStyle w:val="FrameContents"/>
                              <w:widowControl w:val="false"/>
                              <w:rPr>
                                <w:color w:val="000000"/>
                                <w:lang w:val="nl-NL"/>
                              </w:rPr>
                            </w:pPr>
                            <w:r>
                              <w:rPr>
                                <w:color w:val="000000"/>
                                <w:lang w:val="nl-NL"/>
                              </w:rPr>
                              <w:t>X</w:t>
                            </w:r>
                          </w:p>
                          <w:p>
                            <w:pPr>
                              <w:pStyle w:val="FrameContents"/>
                              <w:widowControl w:val="false"/>
                              <w:jc w:val="center"/>
                              <w:rPr/>
                            </w:pPr>
                            <w:r>
                              <w:rPr>
                                <w:color w:val="000000"/>
                              </w:rPr>
                              <w:t>XXX</w:t>
                            </w:r>
                          </w:p>
                        </w:txbxContent>
                      </v:textbox>
                      <w10:wrap type="none"/>
                    </v:rect>
                  </w:pict>
                </mc:Fallback>
              </mc:AlternateContent>
            </w:r>
            <w:r>
              <w:rPr>
                <w:noProof/>
              </w:rPr>
              <mc:AlternateContent>
                <mc:Choice Requires="wps">
                  <w:drawing>
                    <wp:anchor distT="4445" distB="4445" distL="4445" distR="4445" simplePos="0" relativeHeight="24" behindDoc="0" locked="0" layoutInCell="1" allowOverlap="1" wp14:anchorId="79EE431B" wp14:editId="44915932">
                      <wp:simplePos x="0" y="0"/>
                      <wp:positionH relativeFrom="column">
                        <wp:posOffset>1219200</wp:posOffset>
                      </wp:positionH>
                      <wp:positionV relativeFrom="paragraph">
                        <wp:posOffset>168910</wp:posOffset>
                      </wp:positionV>
                      <wp:extent cx="278765" cy="278765"/>
                      <wp:effectExtent l="0" t="0" r="0" b="0"/>
                      <wp:wrapNone/>
                      <wp:docPr id="13" name="Rectangle 361"/>
                      <wp:cNvGraphicFramePr/>
                      <a:graphic xmlns:a="http://schemas.openxmlformats.org/drawingml/2006/main">
                        <a:graphicData uri="http://schemas.microsoft.com/office/word/2010/wordprocessingShape">
                          <wps:wsp>
                            <wps:cNvSpPr/>
                            <wps:spPr>
                              <a:xfrm>
                                <a:off x="0" y="0"/>
                                <a:ext cx="278280" cy="278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42C36B8" w14:textId="77777777" w:rsidR="00C87690" w:rsidRDefault="00CF5E28">
                                  <w:pPr>
                                    <w:pStyle w:val="FrameContents"/>
                                    <w:widowControl w:val="0"/>
                                    <w:rPr>
                                      <w:color w:val="000000"/>
                                      <w:lang w:val="nl-NL"/>
                                    </w:rPr>
                                  </w:pPr>
                                  <w:r>
                                    <w:rPr>
                                      <w:color w:val="000000"/>
                                      <w:lang w:val="nl-NL"/>
                                    </w:rPr>
                                    <w:t>X</w:t>
                                  </w:r>
                                </w:p>
                                <w:p w14:paraId="5F3C38D6" w14:textId="77777777" w:rsidR="00C87690" w:rsidRDefault="00C87690">
                                  <w:pPr>
                                    <w:pStyle w:val="FrameContents"/>
                                    <w:widowControl w:val="0"/>
                                    <w:jc w:val="center"/>
                                  </w:pPr>
                                </w:p>
                              </w:txbxContent>
                            </wps:txbx>
                            <wps:bodyPr anchor="t">
                              <a:noAutofit/>
                            </wps:bodyPr>
                          </wps:wsp>
                        </a:graphicData>
                      </a:graphic>
                    </wp:anchor>
                  </w:drawing>
                </mc:Choice>
                <mc:Fallback>
                  <w:pict>
                    <v:rect id="shape_0" ID="Rectangle 361" path="m0,0l-2147483645,0l-2147483645,-2147483646l0,-2147483646xe" fillcolor="white" stroked="t" o:allowincell="t" style="position:absolute;margin-left:96pt;margin-top:13.3pt;width:21.85pt;height:21.85pt;mso-wrap-style:square;v-text-anchor:top">
                      <v:fill o:detectmouseclick="t" type="solid" color2="black"/>
                      <v:stroke color="black" weight="9360" joinstyle="miter" endcap="flat"/>
                      <v:textbox>
                        <w:txbxContent>
                          <w:p>
                            <w:pPr>
                              <w:pStyle w:val="FrameContents"/>
                              <w:widowControl w:val="false"/>
                              <w:rPr>
                                <w:color w:val="000000"/>
                                <w:lang w:val="nl-NL"/>
                              </w:rPr>
                            </w:pPr>
                            <w:r>
                              <w:rPr>
                                <w:color w:val="000000"/>
                                <w:lang w:val="nl-NL"/>
                              </w:rPr>
                              <w:t>X</w:t>
                            </w:r>
                          </w:p>
                          <w:p>
                            <w:pPr>
                              <w:pStyle w:val="FrameContents"/>
                              <w:widowControl w:val="false"/>
                              <w:jc w:val="center"/>
                              <w:rPr/>
                            </w:pPr>
                            <w:r>
                              <w:rPr/>
                            </w:r>
                          </w:p>
                        </w:txbxContent>
                      </v:textbox>
                      <w10:wrap type="none"/>
                    </v:rect>
                  </w:pict>
                </mc:Fallback>
              </mc:AlternateContent>
            </w:r>
            <w:r>
              <w:rPr>
                <w:noProof/>
              </w:rPr>
              <mc:AlternateContent>
                <mc:Choice Requires="wps">
                  <w:drawing>
                    <wp:anchor distT="4445" distB="4445" distL="4445" distR="4445" simplePos="0" relativeHeight="26" behindDoc="0" locked="0" layoutInCell="1" allowOverlap="1" wp14:anchorId="1717ACB5" wp14:editId="0249518E">
                      <wp:simplePos x="0" y="0"/>
                      <wp:positionH relativeFrom="column">
                        <wp:posOffset>645160</wp:posOffset>
                      </wp:positionH>
                      <wp:positionV relativeFrom="paragraph">
                        <wp:posOffset>168910</wp:posOffset>
                      </wp:positionV>
                      <wp:extent cx="278765" cy="278765"/>
                      <wp:effectExtent l="0" t="0" r="0" b="0"/>
                      <wp:wrapNone/>
                      <wp:docPr id="15" name="Rectangle 360"/>
                      <wp:cNvGraphicFramePr/>
                      <a:graphic xmlns:a="http://schemas.openxmlformats.org/drawingml/2006/main">
                        <a:graphicData uri="http://schemas.microsoft.com/office/word/2010/wordprocessingShape">
                          <wps:wsp>
                            <wps:cNvSpPr/>
                            <wps:spPr>
                              <a:xfrm>
                                <a:off x="0" y="0"/>
                                <a:ext cx="278280" cy="278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CDECFCC" w14:textId="77777777" w:rsidR="00C87690" w:rsidRDefault="00CF5E28">
                                  <w:pPr>
                                    <w:pStyle w:val="FrameContents"/>
                                    <w:widowControl w:val="0"/>
                                  </w:pPr>
                                  <w:r>
                                    <w:rPr>
                                      <w:color w:val="000000"/>
                                    </w:rPr>
                                    <w:t>X</w:t>
                                  </w:r>
                                </w:p>
                              </w:txbxContent>
                            </wps:txbx>
                            <wps:bodyPr anchor="t">
                              <a:noAutofit/>
                            </wps:bodyPr>
                          </wps:wsp>
                        </a:graphicData>
                      </a:graphic>
                    </wp:anchor>
                  </w:drawing>
                </mc:Choice>
                <mc:Fallback>
                  <w:pict>
                    <v:rect id="shape_0" ID="Rectangle 360" path="m0,0l-2147483645,0l-2147483645,-2147483646l0,-2147483646xe" fillcolor="white" stroked="t" o:allowincell="t" style="position:absolute;margin-left:50.8pt;margin-top:13.3pt;width:21.85pt;height:21.85pt;mso-wrap-style:square;v-text-anchor:top">
                      <v:fill o:detectmouseclick="t" type="solid" color2="black"/>
                      <v:stroke color="black" weight="9360" joinstyle="miter" endcap="flat"/>
                      <v:textbox>
                        <w:txbxContent>
                          <w:p>
                            <w:pPr>
                              <w:pStyle w:val="FrameContents"/>
                              <w:widowControl w:val="false"/>
                              <w:rPr/>
                            </w:pPr>
                            <w:r>
                              <w:rPr>
                                <w:color w:val="000000"/>
                              </w:rPr>
                              <w:t>X</w:t>
                            </w:r>
                          </w:p>
                        </w:txbxContent>
                      </v:textbox>
                      <w10:wrap type="none"/>
                    </v:rect>
                  </w:pict>
                </mc:Fallback>
              </mc:AlternateContent>
            </w:r>
            <w:r>
              <w:rPr>
                <w:noProof/>
              </w:rPr>
              <mc:AlternateContent>
                <mc:Choice Requires="wps">
                  <w:drawing>
                    <wp:anchor distT="4445" distB="4445" distL="4445" distR="4445" simplePos="0" relativeHeight="28" behindDoc="0" locked="0" layoutInCell="1" allowOverlap="1" wp14:anchorId="51CA7818" wp14:editId="5F6E23CF">
                      <wp:simplePos x="0" y="0"/>
                      <wp:positionH relativeFrom="column">
                        <wp:posOffset>31750</wp:posOffset>
                      </wp:positionH>
                      <wp:positionV relativeFrom="paragraph">
                        <wp:posOffset>168910</wp:posOffset>
                      </wp:positionV>
                      <wp:extent cx="278765" cy="278765"/>
                      <wp:effectExtent l="0" t="0" r="0" b="0"/>
                      <wp:wrapNone/>
                      <wp:docPr id="17" name="Rectangle 366"/>
                      <wp:cNvGraphicFramePr/>
                      <a:graphic xmlns:a="http://schemas.openxmlformats.org/drawingml/2006/main">
                        <a:graphicData uri="http://schemas.microsoft.com/office/word/2010/wordprocessingShape">
                          <wps:wsp>
                            <wps:cNvSpPr/>
                            <wps:spPr>
                              <a:xfrm>
                                <a:off x="0" y="0"/>
                                <a:ext cx="278280" cy="27828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457FC13" w14:textId="77777777" w:rsidR="00C87690" w:rsidRDefault="00CF5E28">
                                  <w:pPr>
                                    <w:pStyle w:val="FrameContents"/>
                                    <w:widowControl w:val="0"/>
                                  </w:pPr>
                                  <w:r>
                                    <w:rPr>
                                      <w:color w:val="000000"/>
                                    </w:rPr>
                                    <w:t>X</w:t>
                                  </w:r>
                                </w:p>
                              </w:txbxContent>
                            </wps:txbx>
                            <wps:bodyPr anchor="t">
                              <a:noAutofit/>
                            </wps:bodyPr>
                          </wps:wsp>
                        </a:graphicData>
                      </a:graphic>
                    </wp:anchor>
                  </w:drawing>
                </mc:Choice>
                <mc:Fallback>
                  <w:pict>
                    <v:rect id="shape_0" ID="Rectangle 366" path="m0,0l-2147483645,0l-2147483645,-2147483646l0,-2147483646xe" fillcolor="white" stroked="t" o:allowincell="t" style="position:absolute;margin-left:2.5pt;margin-top:13.3pt;width:21.85pt;height:21.85pt;mso-wrap-style:square;v-text-anchor:top">
                      <v:fill o:detectmouseclick="t" type="solid" color2="black"/>
                      <v:stroke color="black" weight="9360" joinstyle="miter" endcap="flat"/>
                      <v:textbox>
                        <w:txbxContent>
                          <w:p>
                            <w:pPr>
                              <w:pStyle w:val="FrameContents"/>
                              <w:widowControl w:val="false"/>
                              <w:rPr/>
                            </w:pPr>
                            <w:r>
                              <w:rPr>
                                <w:color w:val="000000"/>
                              </w:rPr>
                              <w:t>X</w:t>
                            </w:r>
                          </w:p>
                        </w:txbxContent>
                      </v:textbox>
                      <w10:wrap type="none"/>
                    </v:rect>
                  </w:pict>
                </mc:Fallback>
              </mc:AlternateContent>
            </w:r>
            <w:r>
              <w:rPr>
                <w:sz w:val="20"/>
              </w:rPr>
              <w:t>54</w:t>
            </w:r>
            <w:r>
              <w:rPr>
                <w:sz w:val="20"/>
              </w:rPr>
              <w:tab/>
              <w:t>55</w:t>
            </w:r>
            <w:r>
              <w:rPr>
                <w:sz w:val="20"/>
              </w:rPr>
              <w:tab/>
              <w:t>56</w:t>
            </w:r>
            <w:r>
              <w:rPr>
                <w:sz w:val="20"/>
              </w:rPr>
              <w:tab/>
              <w:t>57</w:t>
            </w:r>
            <w:r>
              <w:rPr>
                <w:sz w:val="20"/>
              </w:rPr>
              <w:tab/>
              <w:t>58</w:t>
            </w:r>
            <w:r>
              <w:rPr>
                <w:sz w:val="20"/>
              </w:rPr>
              <w:tab/>
              <w:t>59</w:t>
            </w:r>
            <w:r>
              <w:rPr>
                <w:sz w:val="20"/>
              </w:rPr>
              <w:tab/>
              <w:t>60</w:t>
            </w:r>
          </w:p>
          <w:p w14:paraId="10C117E1" w14:textId="77777777" w:rsidR="00C87690" w:rsidRDefault="00C876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240"/>
              <w:jc w:val="both"/>
              <w:rPr>
                <w:bCs/>
                <w:iCs/>
                <w:sz w:val="20"/>
                <w:szCs w:val="20"/>
              </w:rPr>
            </w:pPr>
          </w:p>
        </w:tc>
      </w:tr>
      <w:tr w:rsidR="00C87690" w14:paraId="21BAC347" w14:textId="77777777">
        <w:trPr>
          <w:cantSplit/>
          <w:trHeight w:val="342"/>
        </w:trPr>
        <w:tc>
          <w:tcPr>
            <w:tcW w:w="2237" w:type="dxa"/>
            <w:tcBorders>
              <w:top w:val="single" w:sz="4" w:space="0" w:color="000000"/>
              <w:left w:val="single" w:sz="4" w:space="0" w:color="000000"/>
              <w:bottom w:val="single" w:sz="4" w:space="0" w:color="000000"/>
              <w:right w:val="single" w:sz="4" w:space="0" w:color="000000"/>
            </w:tcBorders>
            <w:shd w:val="clear" w:color="auto" w:fill="E7E6E6"/>
          </w:tcPr>
          <w:p w14:paraId="3F2D4959" w14:textId="77777777" w:rsidR="00C87690" w:rsidRDefault="00CF5E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Committee notes</w:t>
            </w:r>
          </w:p>
        </w:tc>
        <w:tc>
          <w:tcPr>
            <w:tcW w:w="2547" w:type="dxa"/>
            <w:tcBorders>
              <w:top w:val="single" w:sz="4" w:space="0" w:color="000000"/>
              <w:left w:val="single" w:sz="4" w:space="0" w:color="000000"/>
              <w:bottom w:val="single" w:sz="4" w:space="0" w:color="000000"/>
              <w:right w:val="single" w:sz="4" w:space="0" w:color="000000"/>
            </w:tcBorders>
            <w:shd w:val="clear" w:color="auto" w:fill="E7E6E6"/>
          </w:tcPr>
          <w:p w14:paraId="4763B9E4"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Origins /Input paper</w:t>
            </w:r>
          </w:p>
          <w:p w14:paraId="57DF4282"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Who proposed the task?</w:t>
            </w:r>
          </w:p>
          <w:p w14:paraId="2B075789"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r>
              <w:rPr>
                <w:b/>
                <w:bCs/>
                <w:iCs/>
                <w:sz w:val="20"/>
                <w:szCs w:val="20"/>
              </w:rPr>
              <w:t>Forwarded from previous work period:</w:t>
            </w:r>
          </w:p>
        </w:tc>
        <w:tc>
          <w:tcPr>
            <w:tcW w:w="4821" w:type="dxa"/>
            <w:gridSpan w:val="2"/>
            <w:tcBorders>
              <w:top w:val="single" w:sz="4" w:space="0" w:color="000000"/>
              <w:left w:val="single" w:sz="4" w:space="0" w:color="000000"/>
              <w:bottom w:val="single" w:sz="4" w:space="0" w:color="000000"/>
              <w:right w:val="single" w:sz="4" w:space="0" w:color="000000"/>
            </w:tcBorders>
            <w:shd w:val="clear" w:color="auto" w:fill="E7E6E6"/>
          </w:tcPr>
          <w:p w14:paraId="53B5E23C"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pPr>
            <w:r>
              <w:fldChar w:fldCharType="begin">
                <w:ffData>
                  <w:name w:val="Text2"/>
                  <w:enabled/>
                  <w:calcOnExit w:val="0"/>
                  <w:textInput/>
                </w:ffData>
              </w:fldChar>
            </w:r>
            <w:r>
              <w:instrText>FORMTEXT</w:instrText>
            </w:r>
            <w:r>
              <w:fldChar w:fldCharType="separate"/>
            </w:r>
            <w:r>
              <w:rPr>
                <w:bCs/>
                <w:iCs/>
                <w:sz w:val="20"/>
                <w:szCs w:val="20"/>
              </w:rPr>
              <w:t>     </w:t>
            </w:r>
            <w:r>
              <w:fldChar w:fldCharType="end"/>
            </w:r>
            <w:r>
              <w:rPr>
                <w:bCs/>
                <w:iCs/>
                <w:sz w:val="20"/>
                <w:szCs w:val="20"/>
              </w:rPr>
              <w:t xml:space="preserve"> </w:t>
            </w:r>
            <w:r>
              <w:rPr>
                <w:bCs/>
                <w:i/>
                <w:iCs/>
                <w:sz w:val="16"/>
                <w:szCs w:val="16"/>
              </w:rPr>
              <w:t>(name of file)</w:t>
            </w:r>
          </w:p>
          <w:p w14:paraId="03B4EBDF"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pPr>
            <w:r>
              <w:fldChar w:fldCharType="begin">
                <w:ffData>
                  <w:name w:val="Text21"/>
                  <w:enabled/>
                  <w:calcOnExit w:val="0"/>
                  <w:textInput/>
                </w:ffData>
              </w:fldChar>
            </w:r>
            <w:r>
              <w:instrText>FORMTEXT</w:instrText>
            </w:r>
            <w:r>
              <w:fldChar w:fldCharType="separate"/>
            </w:r>
            <w:r>
              <w:rPr>
                <w:bCs/>
                <w:iCs/>
                <w:sz w:val="20"/>
                <w:szCs w:val="20"/>
              </w:rPr>
              <w:t>  PAP   </w:t>
            </w:r>
            <w:r>
              <w:fldChar w:fldCharType="end"/>
            </w:r>
            <w:r>
              <w:rPr>
                <w:bCs/>
                <w:i/>
                <w:iCs/>
                <w:sz w:val="16"/>
                <w:szCs w:val="16"/>
              </w:rPr>
              <w:t xml:space="preserve"> (name of organisation)</w:t>
            </w:r>
          </w:p>
          <w:p w14:paraId="4EC975D8" w14:textId="77777777" w:rsidR="00C87690" w:rsidRDefault="00CF5E28">
            <w:pPr>
              <w:widowControl w:val="0"/>
              <w:tabs>
                <w:tab w:val="left" w:pos="457"/>
                <w:tab w:val="left" w:pos="1875"/>
                <w:tab w:val="left" w:pos="2880"/>
              </w:tabs>
              <w:spacing w:before="300" w:after="60"/>
              <w:jc w:val="both"/>
              <w:rPr>
                <w:bCs/>
                <w:iCs/>
              </w:rPr>
            </w:pPr>
            <w:r>
              <w:rPr>
                <w:noProof/>
              </w:rPr>
              <mc:AlternateContent>
                <mc:Choice Requires="wps">
                  <w:drawing>
                    <wp:anchor distT="4445" distB="4445" distL="4445" distR="4445" simplePos="0" relativeHeight="16" behindDoc="0" locked="0" layoutInCell="1" allowOverlap="1" wp14:anchorId="1F60AD0B" wp14:editId="5ADB479A">
                      <wp:simplePos x="0" y="0"/>
                      <wp:positionH relativeFrom="column">
                        <wp:posOffset>1270</wp:posOffset>
                      </wp:positionH>
                      <wp:positionV relativeFrom="paragraph">
                        <wp:posOffset>73660</wp:posOffset>
                      </wp:positionV>
                      <wp:extent cx="194945" cy="210185"/>
                      <wp:effectExtent l="0" t="0" r="0" b="0"/>
                      <wp:wrapNone/>
                      <wp:docPr id="19" name="Rectangle 1"/>
                      <wp:cNvGraphicFramePr/>
                      <a:graphic xmlns:a="http://schemas.openxmlformats.org/drawingml/2006/main">
                        <a:graphicData uri="http://schemas.microsoft.com/office/word/2010/wordprocessingShape">
                          <wps:wsp>
                            <wps:cNvSpPr/>
                            <wps:spPr>
                              <a:xfrm>
                                <a:off x="0" y="0"/>
                                <a:ext cx="194400" cy="209520"/>
                              </a:xfrm>
                              <a:prstGeom prst="rect">
                                <a:avLst/>
                              </a:prstGeom>
                              <a:solidFill>
                                <a:srgbClr val="E7E6E6"/>
                              </a:solidFill>
                              <a:ln w="9360">
                                <a:solidFill>
                                  <a:srgbClr val="000000"/>
                                </a:solidFill>
                                <a:miter/>
                              </a:ln>
                            </wps:spPr>
                            <wps:style>
                              <a:lnRef idx="0">
                                <a:scrgbClr r="0" g="0" b="0"/>
                              </a:lnRef>
                              <a:fillRef idx="0">
                                <a:scrgbClr r="0" g="0" b="0"/>
                              </a:fillRef>
                              <a:effectRef idx="0">
                                <a:scrgbClr r="0" g="0" b="0"/>
                              </a:effectRef>
                              <a:fontRef idx="minor"/>
                            </wps:style>
                            <wps:txbx>
                              <w:txbxContent>
                                <w:p w14:paraId="349DE563" w14:textId="77777777" w:rsidR="00C87690" w:rsidRDefault="00C87690">
                                  <w:pPr>
                                    <w:pStyle w:val="FrameContents"/>
                                    <w:widowControl w:val="0"/>
                                    <w:rPr>
                                      <w:color w:val="000000"/>
                                      <w:sz w:val="16"/>
                                      <w:szCs w:val="16"/>
                                      <w:lang w:val="nl-NL"/>
                                    </w:rPr>
                                  </w:pPr>
                                </w:p>
                                <w:p w14:paraId="2875E78D" w14:textId="77777777" w:rsidR="00C87690" w:rsidRDefault="00C87690">
                                  <w:pPr>
                                    <w:pStyle w:val="FrameContents"/>
                                    <w:widowControl w:val="0"/>
                                    <w:jc w:val="center"/>
                                  </w:pPr>
                                </w:p>
                              </w:txbxContent>
                            </wps:txbx>
                            <wps:bodyPr anchor="t">
                              <a:noAutofit/>
                            </wps:bodyPr>
                          </wps:wsp>
                        </a:graphicData>
                      </a:graphic>
                    </wp:anchor>
                  </w:drawing>
                </mc:Choice>
                <mc:Fallback>
                  <w:pict>
                    <v:rect id="shape_0" ID="Rectangle 1" path="m0,0l-2147483645,0l-2147483645,-2147483646l0,-2147483646xe" fillcolor="#e7e6e6" stroked="t" o:allowincell="t" style="position:absolute;margin-left:0.1pt;margin-top:5.8pt;width:15.25pt;height:16.45pt;mso-wrap-style:square;v-text-anchor:top">
                      <v:fill o:detectmouseclick="t" type="solid" color2="#181919"/>
                      <v:stroke color="black" weight="9360" joinstyle="miter" endcap="flat"/>
                      <v:textbox>
                        <w:txbxContent>
                          <w:p>
                            <w:pPr>
                              <w:pStyle w:val="FrameContents"/>
                              <w:widowControl w:val="false"/>
                              <w:rPr>
                                <w:color w:val="000000"/>
                                <w:sz w:val="16"/>
                                <w:szCs w:val="16"/>
                                <w:lang w:val="nl-NL"/>
                              </w:rPr>
                            </w:pPr>
                            <w:r>
                              <w:rPr>
                                <w:color w:val="000000"/>
                                <w:sz w:val="16"/>
                                <w:szCs w:val="16"/>
                                <w:lang w:val="nl-NL"/>
                              </w:rPr>
                            </w:r>
                          </w:p>
                          <w:p>
                            <w:pPr>
                              <w:pStyle w:val="FrameContents"/>
                              <w:widowControl w:val="false"/>
                              <w:jc w:val="center"/>
                              <w:rPr/>
                            </w:pPr>
                            <w:r>
                              <w:rPr/>
                            </w:r>
                          </w:p>
                        </w:txbxContent>
                      </v:textbox>
                      <w10:wrap type="none"/>
                    </v:rect>
                  </w:pict>
                </mc:Fallback>
              </mc:AlternateContent>
            </w:r>
            <w:r>
              <w:rPr>
                <w:noProof/>
              </w:rPr>
              <mc:AlternateContent>
                <mc:Choice Requires="wps">
                  <w:drawing>
                    <wp:anchor distT="4445" distB="4445" distL="4445" distR="4445" simplePos="0" relativeHeight="30" behindDoc="0" locked="0" layoutInCell="1" allowOverlap="1" wp14:anchorId="2956B929" wp14:editId="7F0A280B">
                      <wp:simplePos x="0" y="0"/>
                      <wp:positionH relativeFrom="column">
                        <wp:posOffset>904875</wp:posOffset>
                      </wp:positionH>
                      <wp:positionV relativeFrom="paragraph">
                        <wp:posOffset>75565</wp:posOffset>
                      </wp:positionV>
                      <wp:extent cx="194945" cy="210185"/>
                      <wp:effectExtent l="0" t="0" r="0" b="0"/>
                      <wp:wrapNone/>
                      <wp:docPr id="21" name="Rectangle 2"/>
                      <wp:cNvGraphicFramePr/>
                      <a:graphic xmlns:a="http://schemas.openxmlformats.org/drawingml/2006/main">
                        <a:graphicData uri="http://schemas.microsoft.com/office/word/2010/wordprocessingShape">
                          <wps:wsp>
                            <wps:cNvSpPr/>
                            <wps:spPr>
                              <a:xfrm>
                                <a:off x="0" y="0"/>
                                <a:ext cx="194400" cy="209520"/>
                              </a:xfrm>
                              <a:prstGeom prst="rect">
                                <a:avLst/>
                              </a:prstGeom>
                              <a:solidFill>
                                <a:srgbClr val="E7E6E6"/>
                              </a:solidFill>
                              <a:ln w="9360">
                                <a:solidFill>
                                  <a:srgbClr val="000000"/>
                                </a:solidFill>
                                <a:miter/>
                              </a:ln>
                            </wps:spPr>
                            <wps:style>
                              <a:lnRef idx="0">
                                <a:scrgbClr r="0" g="0" b="0"/>
                              </a:lnRef>
                              <a:fillRef idx="0">
                                <a:scrgbClr r="0" g="0" b="0"/>
                              </a:fillRef>
                              <a:effectRef idx="0">
                                <a:scrgbClr r="0" g="0" b="0"/>
                              </a:effectRef>
                              <a:fontRef idx="minor"/>
                            </wps:style>
                            <wps:txbx>
                              <w:txbxContent>
                                <w:p w14:paraId="25CD5EC7" w14:textId="77777777" w:rsidR="00C87690" w:rsidRDefault="00CF5E28">
                                  <w:pPr>
                                    <w:pStyle w:val="FrameContents"/>
                                    <w:widowControl w:val="0"/>
                                    <w:rPr>
                                      <w:color w:val="000000"/>
                                      <w:sz w:val="16"/>
                                      <w:szCs w:val="16"/>
                                      <w:lang w:val="nl-NL"/>
                                    </w:rPr>
                                  </w:pPr>
                                  <w:r>
                                    <w:rPr>
                                      <w:color w:val="000000"/>
                                      <w:sz w:val="16"/>
                                      <w:szCs w:val="16"/>
                                      <w:lang w:val="nl-NL"/>
                                    </w:rPr>
                                    <w:t>X</w:t>
                                  </w:r>
                                </w:p>
                                <w:p w14:paraId="52B9C1DF" w14:textId="77777777" w:rsidR="00C87690" w:rsidRDefault="00C87690">
                                  <w:pPr>
                                    <w:pStyle w:val="FrameContents"/>
                                    <w:widowControl w:val="0"/>
                                    <w:jc w:val="center"/>
                                  </w:pPr>
                                </w:p>
                              </w:txbxContent>
                            </wps:txbx>
                            <wps:bodyPr anchor="t">
                              <a:noAutofit/>
                            </wps:bodyPr>
                          </wps:wsp>
                        </a:graphicData>
                      </a:graphic>
                    </wp:anchor>
                  </w:drawing>
                </mc:Choice>
                <mc:Fallback>
                  <w:pict>
                    <v:rect id="shape_0" ID="Rectangle 2" path="m0,0l-2147483645,0l-2147483645,-2147483646l0,-2147483646xe" fillcolor="#e7e6e6" stroked="t" o:allowincell="t" style="position:absolute;margin-left:71.25pt;margin-top:5.95pt;width:15.25pt;height:16.45pt;mso-wrap-style:square;v-text-anchor:top">
                      <v:fill o:detectmouseclick="t" type="solid" color2="#181919"/>
                      <v:stroke color="black" weight="9360" joinstyle="miter" endcap="flat"/>
                      <v:textbox>
                        <w:txbxContent>
                          <w:p>
                            <w:pPr>
                              <w:pStyle w:val="FrameContents"/>
                              <w:widowControl w:val="false"/>
                              <w:rPr>
                                <w:color w:val="000000"/>
                                <w:sz w:val="16"/>
                                <w:szCs w:val="16"/>
                                <w:lang w:val="nl-NL"/>
                              </w:rPr>
                            </w:pPr>
                            <w:r>
                              <w:rPr>
                                <w:color w:val="000000"/>
                                <w:sz w:val="16"/>
                                <w:szCs w:val="16"/>
                                <w:lang w:val="nl-NL"/>
                              </w:rPr>
                              <w:t>X</w:t>
                            </w:r>
                          </w:p>
                          <w:p>
                            <w:pPr>
                              <w:pStyle w:val="FrameContents"/>
                              <w:widowControl w:val="false"/>
                              <w:jc w:val="center"/>
                              <w:rPr/>
                            </w:pPr>
                            <w:r>
                              <w:rPr/>
                            </w:r>
                          </w:p>
                        </w:txbxContent>
                      </v:textbox>
                      <w10:wrap type="none"/>
                    </v:rect>
                  </w:pict>
                </mc:Fallback>
              </mc:AlternateContent>
            </w:r>
            <w:r>
              <w:rPr>
                <w:bCs/>
                <w:iCs/>
                <w:sz w:val="20"/>
                <w:szCs w:val="20"/>
              </w:rPr>
              <w:tab/>
              <w:t>Yes</w:t>
            </w:r>
            <w:r>
              <w:rPr>
                <w:bCs/>
                <w:iCs/>
                <w:sz w:val="16"/>
                <w:szCs w:val="16"/>
              </w:rPr>
              <w:tab/>
            </w:r>
            <w:r>
              <w:rPr>
                <w:bCs/>
                <w:iCs/>
                <w:sz w:val="20"/>
                <w:szCs w:val="20"/>
              </w:rPr>
              <w:t>No</w:t>
            </w:r>
          </w:p>
        </w:tc>
      </w:tr>
      <w:tr w:rsidR="00C87690" w14:paraId="572249B2" w14:textId="77777777">
        <w:trPr>
          <w:cantSplit/>
          <w:trHeight w:val="342"/>
        </w:trPr>
        <w:tc>
          <w:tcPr>
            <w:tcW w:w="2237" w:type="dxa"/>
            <w:vMerge w:val="restart"/>
            <w:tcBorders>
              <w:top w:val="single" w:sz="4" w:space="0" w:color="000000"/>
              <w:left w:val="single" w:sz="4" w:space="0" w:color="000000"/>
              <w:bottom w:val="single" w:sz="4" w:space="0" w:color="000000"/>
              <w:right w:val="single" w:sz="4" w:space="0" w:color="000000"/>
            </w:tcBorders>
            <w:shd w:val="clear" w:color="auto" w:fill="E7E6E6"/>
          </w:tcPr>
          <w:p w14:paraId="14E22C2C" w14:textId="77777777" w:rsidR="00C87690" w:rsidRDefault="00C8769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b/>
                <w:bCs/>
                <w:iCs/>
                <w:sz w:val="20"/>
                <w:szCs w:val="20"/>
              </w:rPr>
            </w:pPr>
          </w:p>
        </w:tc>
        <w:tc>
          <w:tcPr>
            <w:tcW w:w="2547" w:type="dxa"/>
            <w:tcBorders>
              <w:top w:val="single" w:sz="4" w:space="0" w:color="000000"/>
              <w:left w:val="single" w:sz="4" w:space="0" w:color="000000"/>
              <w:bottom w:val="single" w:sz="4" w:space="0" w:color="000000"/>
              <w:right w:val="single" w:sz="4" w:space="0" w:color="000000"/>
            </w:tcBorders>
            <w:shd w:val="clear" w:color="auto" w:fill="E7E6E6"/>
          </w:tcPr>
          <w:p w14:paraId="43C5625C"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
                <w:bCs/>
                <w:iCs/>
                <w:sz w:val="20"/>
                <w:szCs w:val="20"/>
              </w:rPr>
            </w:pPr>
            <w:r>
              <w:rPr>
                <w:b/>
                <w:bCs/>
                <w:iCs/>
                <w:sz w:val="20"/>
                <w:szCs w:val="20"/>
              </w:rPr>
              <w:t>Working Group</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Pr>
          <w:p w14:paraId="065B3D1D"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
                <w:bCs/>
                <w:iCs/>
                <w:sz w:val="20"/>
                <w:szCs w:val="20"/>
              </w:rPr>
              <w:t xml:space="preserve">WG# </w:t>
            </w:r>
            <w:r>
              <w:fldChar w:fldCharType="begin">
                <w:ffData>
                  <w:name w:val="Text22"/>
                  <w:enabled/>
                  <w:calcOnExit w:val="0"/>
                  <w:textInput/>
                </w:ffData>
              </w:fldChar>
            </w:r>
            <w:r>
              <w:rPr>
                <w:b/>
                <w:bCs/>
                <w:iCs/>
                <w:sz w:val="20"/>
                <w:szCs w:val="20"/>
              </w:rPr>
              <w:instrText>FORMTEXT</w:instrText>
            </w:r>
            <w:r>
              <w:rPr>
                <w:b/>
                <w:bCs/>
                <w:iCs/>
                <w:sz w:val="20"/>
                <w:szCs w:val="20"/>
              </w:rPr>
            </w:r>
            <w:r>
              <w:rPr>
                <w:b/>
                <w:bCs/>
                <w:iCs/>
                <w:sz w:val="20"/>
                <w:szCs w:val="20"/>
              </w:rPr>
              <w:fldChar w:fldCharType="separate"/>
            </w:r>
            <w:r>
              <w:rPr>
                <w:bCs/>
                <w:iCs/>
                <w:sz w:val="20"/>
                <w:szCs w:val="20"/>
              </w:rPr>
              <w:t>  2   </w:t>
            </w:r>
            <w:r>
              <w:rPr>
                <w:b/>
                <w:bCs/>
                <w:iCs/>
                <w:sz w:val="20"/>
                <w:szCs w:val="20"/>
              </w:rPr>
              <w:fldChar w:fldCharType="end"/>
            </w:r>
          </w:p>
        </w:tc>
        <w:tc>
          <w:tcPr>
            <w:tcW w:w="2553" w:type="dxa"/>
            <w:tcBorders>
              <w:top w:val="single" w:sz="4" w:space="0" w:color="000000"/>
              <w:left w:val="single" w:sz="4" w:space="0" w:color="000000"/>
              <w:bottom w:val="single" w:sz="4" w:space="0" w:color="000000"/>
              <w:right w:val="single" w:sz="4" w:space="0" w:color="000000"/>
            </w:tcBorders>
            <w:shd w:val="clear" w:color="auto" w:fill="E7E6E6"/>
          </w:tcPr>
          <w:p w14:paraId="75444544"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Cs/>
                <w:iCs/>
                <w:sz w:val="20"/>
                <w:szCs w:val="20"/>
              </w:rPr>
            </w:pPr>
            <w:r>
              <w:rPr>
                <w:b/>
                <w:bCs/>
                <w:iCs/>
                <w:sz w:val="20"/>
                <w:szCs w:val="20"/>
              </w:rPr>
              <w:t xml:space="preserve">Comments </w:t>
            </w:r>
            <w:r>
              <w:fldChar w:fldCharType="begin">
                <w:ffData>
                  <w:name w:val="Text23"/>
                  <w:enabled/>
                  <w:calcOnExit w:val="0"/>
                  <w:textInput/>
                </w:ffData>
              </w:fldChar>
            </w:r>
            <w:r>
              <w:rPr>
                <w:b/>
                <w:bCs/>
                <w:iCs/>
                <w:sz w:val="20"/>
                <w:szCs w:val="20"/>
              </w:rPr>
              <w:instrText>FORMTEXT</w:instrText>
            </w:r>
            <w:r>
              <w:rPr>
                <w:b/>
                <w:bCs/>
                <w:iCs/>
                <w:sz w:val="20"/>
                <w:szCs w:val="20"/>
              </w:rPr>
            </w:r>
            <w:r>
              <w:rPr>
                <w:b/>
                <w:bCs/>
                <w:iCs/>
                <w:sz w:val="20"/>
                <w:szCs w:val="20"/>
              </w:rPr>
              <w:fldChar w:fldCharType="separate"/>
            </w:r>
            <w:r>
              <w:rPr>
                <w:bCs/>
                <w:iCs/>
                <w:sz w:val="20"/>
                <w:szCs w:val="20"/>
              </w:rPr>
              <w:t>     </w:t>
            </w:r>
            <w:r>
              <w:rPr>
                <w:b/>
                <w:bCs/>
                <w:iCs/>
                <w:sz w:val="20"/>
                <w:szCs w:val="20"/>
              </w:rPr>
              <w:fldChar w:fldCharType="end"/>
            </w:r>
          </w:p>
        </w:tc>
      </w:tr>
      <w:tr w:rsidR="00C87690" w14:paraId="54555E6C" w14:textId="77777777">
        <w:trPr>
          <w:cantSplit/>
          <w:trHeight w:val="489"/>
        </w:trPr>
        <w:tc>
          <w:tcPr>
            <w:tcW w:w="2237" w:type="dxa"/>
            <w:vMerge/>
            <w:tcBorders>
              <w:top w:val="single" w:sz="4" w:space="0" w:color="000000"/>
              <w:left w:val="single" w:sz="4" w:space="0" w:color="000000"/>
              <w:bottom w:val="single" w:sz="4" w:space="0" w:color="000000"/>
              <w:right w:val="single" w:sz="4" w:space="0" w:color="000000"/>
            </w:tcBorders>
            <w:shd w:val="clear" w:color="auto" w:fill="E7E6E6"/>
          </w:tcPr>
          <w:p w14:paraId="59722594" w14:textId="77777777" w:rsidR="00C87690" w:rsidRDefault="00C87690">
            <w:pPr>
              <w:widowControl w:val="0"/>
            </w:pPr>
          </w:p>
        </w:tc>
        <w:tc>
          <w:tcPr>
            <w:tcW w:w="2547" w:type="dxa"/>
            <w:tcBorders>
              <w:top w:val="single" w:sz="4" w:space="0" w:color="000000"/>
              <w:left w:val="single" w:sz="4" w:space="0" w:color="000000"/>
              <w:bottom w:val="single" w:sz="4" w:space="0" w:color="000000"/>
              <w:right w:val="single" w:sz="4" w:space="0" w:color="000000"/>
            </w:tcBorders>
            <w:shd w:val="clear" w:color="auto" w:fill="E7E6E6"/>
          </w:tcPr>
          <w:p w14:paraId="0B187889"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
                <w:bCs/>
                <w:iCs/>
                <w:sz w:val="20"/>
                <w:szCs w:val="20"/>
              </w:rPr>
            </w:pPr>
            <w:r>
              <w:rPr>
                <w:b/>
                <w:bCs/>
                <w:iCs/>
                <w:sz w:val="20"/>
                <w:szCs w:val="20"/>
              </w:rPr>
              <w:t xml:space="preserve">Agreed by VTS </w:t>
            </w:r>
            <w:proofErr w:type="spellStart"/>
            <w:r>
              <w:rPr>
                <w:b/>
                <w:bCs/>
                <w:iCs/>
                <w:sz w:val="20"/>
                <w:szCs w:val="20"/>
              </w:rPr>
              <w:t>Cte</w:t>
            </w:r>
            <w:proofErr w:type="spellEnd"/>
          </w:p>
        </w:tc>
        <w:tc>
          <w:tcPr>
            <w:tcW w:w="2268" w:type="dxa"/>
            <w:tcBorders>
              <w:top w:val="single" w:sz="4" w:space="0" w:color="000000"/>
              <w:left w:val="single" w:sz="4" w:space="0" w:color="000000"/>
              <w:bottom w:val="single" w:sz="4" w:space="0" w:color="000000"/>
              <w:right w:val="single" w:sz="4" w:space="0" w:color="000000"/>
            </w:tcBorders>
            <w:shd w:val="clear" w:color="auto" w:fill="E7E6E6"/>
          </w:tcPr>
          <w:p w14:paraId="44D4C41C"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pPr>
            <w:r>
              <w:fldChar w:fldCharType="begin">
                <w:ffData>
                  <w:name w:val="Text24"/>
                  <w:enabled/>
                  <w:calcOnExit w:val="0"/>
                  <w:textInput/>
                </w:ffData>
              </w:fldChar>
            </w:r>
            <w:r>
              <w:instrText>FORMTEXT</w:instrText>
            </w:r>
            <w:r>
              <w:fldChar w:fldCharType="separate"/>
            </w:r>
            <w:r>
              <w:rPr>
                <w:bCs/>
                <w:iCs/>
                <w:sz w:val="20"/>
                <w:szCs w:val="20"/>
              </w:rPr>
              <w:t>     </w:t>
            </w:r>
            <w:r>
              <w:fldChar w:fldCharType="end"/>
            </w:r>
            <w:r>
              <w:rPr>
                <w:bCs/>
                <w:iCs/>
                <w:sz w:val="20"/>
                <w:szCs w:val="20"/>
              </w:rPr>
              <w:t xml:space="preserve"> </w:t>
            </w:r>
            <w:r>
              <w:rPr>
                <w:bCs/>
                <w:i/>
                <w:iCs/>
                <w:sz w:val="16"/>
                <w:szCs w:val="16"/>
              </w:rPr>
              <w:t xml:space="preserve">(VTS </w:t>
            </w:r>
            <w:proofErr w:type="spellStart"/>
            <w:r>
              <w:rPr>
                <w:bCs/>
                <w:i/>
                <w:iCs/>
                <w:sz w:val="16"/>
                <w:szCs w:val="16"/>
              </w:rPr>
              <w:t>Cte</w:t>
            </w:r>
            <w:proofErr w:type="spellEnd"/>
            <w:r>
              <w:rPr>
                <w:bCs/>
                <w:i/>
                <w:iCs/>
                <w:sz w:val="16"/>
                <w:szCs w:val="16"/>
              </w:rPr>
              <w:t xml:space="preserve"> Session)</w:t>
            </w:r>
          </w:p>
        </w:tc>
        <w:tc>
          <w:tcPr>
            <w:tcW w:w="2553" w:type="dxa"/>
            <w:tcBorders>
              <w:top w:val="single" w:sz="4" w:space="0" w:color="000000"/>
              <w:left w:val="single" w:sz="4" w:space="0" w:color="000000"/>
              <w:bottom w:val="single" w:sz="4" w:space="0" w:color="000000"/>
              <w:right w:val="single" w:sz="4" w:space="0" w:color="000000"/>
            </w:tcBorders>
            <w:shd w:val="clear" w:color="auto" w:fill="E7E6E6"/>
          </w:tcPr>
          <w:p w14:paraId="317443AF"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pPr>
            <w:r>
              <w:fldChar w:fldCharType="begin">
                <w:ffData>
                  <w:name w:val="Text25"/>
                  <w:enabled/>
                  <w:calcOnExit w:val="0"/>
                  <w:textInput/>
                </w:ffData>
              </w:fldChar>
            </w:r>
            <w:r>
              <w:instrText>FORMTEXT</w:instrText>
            </w:r>
            <w:r>
              <w:fldChar w:fldCharType="separate"/>
            </w:r>
            <w:r>
              <w:rPr>
                <w:bCs/>
                <w:iCs/>
                <w:sz w:val="20"/>
                <w:szCs w:val="20"/>
              </w:rPr>
              <w:t>     </w:t>
            </w:r>
            <w:r>
              <w:fldChar w:fldCharType="end"/>
            </w:r>
            <w:r>
              <w:rPr>
                <w:bCs/>
                <w:iCs/>
                <w:sz w:val="20"/>
                <w:szCs w:val="20"/>
              </w:rPr>
              <w:t xml:space="preserve"> </w:t>
            </w:r>
            <w:r>
              <w:rPr>
                <w:bCs/>
                <w:i/>
                <w:iCs/>
                <w:sz w:val="16"/>
                <w:szCs w:val="16"/>
              </w:rPr>
              <w:t>(Month &amp; Year)</w:t>
            </w:r>
          </w:p>
        </w:tc>
      </w:tr>
      <w:tr w:rsidR="00C87690" w14:paraId="28B7801C" w14:textId="77777777">
        <w:trPr>
          <w:cantSplit/>
          <w:trHeight w:val="489"/>
        </w:trPr>
        <w:tc>
          <w:tcPr>
            <w:tcW w:w="2237" w:type="dxa"/>
            <w:vMerge/>
            <w:tcBorders>
              <w:top w:val="single" w:sz="4" w:space="0" w:color="000000"/>
              <w:left w:val="single" w:sz="4" w:space="0" w:color="000000"/>
              <w:bottom w:val="single" w:sz="4" w:space="0" w:color="000000"/>
              <w:right w:val="single" w:sz="4" w:space="0" w:color="000000"/>
            </w:tcBorders>
            <w:shd w:val="clear" w:color="auto" w:fill="E7E6E6"/>
          </w:tcPr>
          <w:p w14:paraId="6A144ADF" w14:textId="77777777" w:rsidR="00C87690" w:rsidRDefault="00C87690">
            <w:pPr>
              <w:widowControl w:val="0"/>
            </w:pPr>
          </w:p>
        </w:tc>
        <w:tc>
          <w:tcPr>
            <w:tcW w:w="2547" w:type="dxa"/>
            <w:tcBorders>
              <w:top w:val="single" w:sz="4" w:space="0" w:color="000000"/>
              <w:left w:val="single" w:sz="4" w:space="0" w:color="000000"/>
              <w:bottom w:val="single" w:sz="4" w:space="0" w:color="000000"/>
              <w:right w:val="single" w:sz="4" w:space="0" w:color="000000"/>
            </w:tcBorders>
            <w:shd w:val="clear" w:color="auto" w:fill="E7E6E6"/>
          </w:tcPr>
          <w:p w14:paraId="27892D99"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
                <w:bCs/>
                <w:iCs/>
                <w:sz w:val="20"/>
                <w:szCs w:val="20"/>
              </w:rPr>
            </w:pPr>
            <w:r>
              <w:rPr>
                <w:b/>
                <w:bCs/>
                <w:iCs/>
                <w:sz w:val="20"/>
                <w:szCs w:val="20"/>
              </w:rPr>
              <w:t>Approved by Council</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cPr>
          <w:p w14:paraId="54A6FF3A"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pPr>
            <w:r>
              <w:fldChar w:fldCharType="begin">
                <w:ffData>
                  <w:name w:val="Text26"/>
                  <w:enabled/>
                  <w:calcOnExit w:val="0"/>
                  <w:textInput/>
                </w:ffData>
              </w:fldChar>
            </w:r>
            <w:r>
              <w:instrText>FORMTEXT</w:instrText>
            </w:r>
            <w:r>
              <w:fldChar w:fldCharType="separate"/>
            </w:r>
            <w:r>
              <w:rPr>
                <w:bCs/>
                <w:iCs/>
                <w:sz w:val="20"/>
                <w:szCs w:val="20"/>
              </w:rPr>
              <w:t>     </w:t>
            </w:r>
            <w:r>
              <w:fldChar w:fldCharType="end"/>
            </w:r>
            <w:r>
              <w:rPr>
                <w:bCs/>
                <w:iCs/>
                <w:sz w:val="20"/>
                <w:szCs w:val="20"/>
              </w:rPr>
              <w:t xml:space="preserve"> </w:t>
            </w:r>
            <w:r>
              <w:rPr>
                <w:bCs/>
                <w:i/>
                <w:iCs/>
                <w:sz w:val="16"/>
                <w:szCs w:val="16"/>
              </w:rPr>
              <w:t>(Council Session)</w:t>
            </w:r>
          </w:p>
        </w:tc>
        <w:tc>
          <w:tcPr>
            <w:tcW w:w="2553" w:type="dxa"/>
            <w:tcBorders>
              <w:top w:val="single" w:sz="4" w:space="0" w:color="000000"/>
              <w:left w:val="single" w:sz="4" w:space="0" w:color="000000"/>
              <w:bottom w:val="single" w:sz="4" w:space="0" w:color="000000"/>
              <w:right w:val="single" w:sz="4" w:space="0" w:color="000000"/>
            </w:tcBorders>
            <w:shd w:val="clear" w:color="auto" w:fill="E7E6E6"/>
          </w:tcPr>
          <w:p w14:paraId="259A3A33"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pPr>
            <w:r>
              <w:fldChar w:fldCharType="begin">
                <w:ffData>
                  <w:name w:val="Text27"/>
                  <w:enabled/>
                  <w:calcOnExit w:val="0"/>
                  <w:textInput/>
                </w:ffData>
              </w:fldChar>
            </w:r>
            <w:r>
              <w:instrText>FORMTEXT</w:instrText>
            </w:r>
            <w:r>
              <w:fldChar w:fldCharType="separate"/>
            </w:r>
            <w:r>
              <w:rPr>
                <w:bCs/>
                <w:iCs/>
                <w:sz w:val="20"/>
                <w:szCs w:val="20"/>
              </w:rPr>
              <w:t>     </w:t>
            </w:r>
            <w:r>
              <w:fldChar w:fldCharType="end"/>
            </w:r>
            <w:r>
              <w:rPr>
                <w:bCs/>
                <w:iCs/>
                <w:sz w:val="20"/>
                <w:szCs w:val="20"/>
              </w:rPr>
              <w:t xml:space="preserve"> </w:t>
            </w:r>
            <w:r>
              <w:rPr>
                <w:bCs/>
                <w:i/>
                <w:iCs/>
                <w:sz w:val="16"/>
                <w:szCs w:val="16"/>
              </w:rPr>
              <w:t>(Month &amp; Year)</w:t>
            </w:r>
          </w:p>
        </w:tc>
      </w:tr>
      <w:tr w:rsidR="00C87690" w14:paraId="25B06E5F" w14:textId="77777777">
        <w:trPr>
          <w:cantSplit/>
          <w:trHeight w:val="489"/>
        </w:trPr>
        <w:tc>
          <w:tcPr>
            <w:tcW w:w="2237" w:type="dxa"/>
            <w:vMerge/>
            <w:tcBorders>
              <w:top w:val="single" w:sz="4" w:space="0" w:color="000000"/>
              <w:left w:val="single" w:sz="4" w:space="0" w:color="000000"/>
              <w:bottom w:val="single" w:sz="4" w:space="0" w:color="000000"/>
              <w:right w:val="single" w:sz="4" w:space="0" w:color="000000"/>
            </w:tcBorders>
            <w:shd w:val="clear" w:color="auto" w:fill="E7E6E6"/>
          </w:tcPr>
          <w:p w14:paraId="22BA73E3" w14:textId="77777777" w:rsidR="00C87690" w:rsidRDefault="00C87690">
            <w:pPr>
              <w:widowControl w:val="0"/>
            </w:pPr>
          </w:p>
        </w:tc>
        <w:tc>
          <w:tcPr>
            <w:tcW w:w="2547" w:type="dxa"/>
            <w:tcBorders>
              <w:top w:val="single" w:sz="4" w:space="0" w:color="000000"/>
              <w:left w:val="single" w:sz="4" w:space="0" w:color="000000"/>
              <w:bottom w:val="single" w:sz="4" w:space="0" w:color="000000"/>
              <w:right w:val="single" w:sz="4" w:space="0" w:color="000000"/>
            </w:tcBorders>
            <w:shd w:val="clear" w:color="auto" w:fill="E7E6E6"/>
          </w:tcPr>
          <w:p w14:paraId="65FC8A67"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jc w:val="both"/>
              <w:rPr>
                <w:b/>
                <w:bCs/>
                <w:iCs/>
                <w:sz w:val="20"/>
                <w:szCs w:val="20"/>
              </w:rPr>
            </w:pPr>
            <w:r>
              <w:rPr>
                <w:b/>
                <w:bCs/>
                <w:iCs/>
                <w:sz w:val="20"/>
                <w:szCs w:val="20"/>
              </w:rPr>
              <w:t>Revision Notes:</w:t>
            </w:r>
          </w:p>
        </w:tc>
        <w:tc>
          <w:tcPr>
            <w:tcW w:w="4821" w:type="dxa"/>
            <w:gridSpan w:val="2"/>
            <w:tcBorders>
              <w:top w:val="single" w:sz="4" w:space="0" w:color="000000"/>
              <w:left w:val="single" w:sz="4" w:space="0" w:color="000000"/>
              <w:bottom w:val="single" w:sz="4" w:space="0" w:color="000000"/>
              <w:right w:val="single" w:sz="4" w:space="0" w:color="000000"/>
            </w:tcBorders>
            <w:shd w:val="clear" w:color="auto" w:fill="E7E6E6"/>
          </w:tcPr>
          <w:p w14:paraId="24568170" w14:textId="77777777" w:rsidR="00C87690" w:rsidRDefault="00CF5E2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120"/>
              <w:rPr>
                <w:sz w:val="20"/>
                <w:szCs w:val="20"/>
              </w:rPr>
            </w:pPr>
            <w:r>
              <w:fldChar w:fldCharType="begin">
                <w:ffData>
                  <w:name w:val="Text28"/>
                  <w:enabled/>
                  <w:calcOnExit w:val="0"/>
                  <w:textInput/>
                </w:ffData>
              </w:fldChar>
            </w:r>
            <w:r>
              <w:rPr>
                <w:sz w:val="20"/>
                <w:szCs w:val="20"/>
              </w:rPr>
              <w:instrText>FORMTEXT</w:instrText>
            </w:r>
            <w:r>
              <w:rPr>
                <w:sz w:val="20"/>
                <w:szCs w:val="20"/>
              </w:rPr>
            </w:r>
            <w:r>
              <w:rPr>
                <w:sz w:val="20"/>
                <w:szCs w:val="20"/>
              </w:rPr>
              <w:fldChar w:fldCharType="separate"/>
            </w:r>
            <w:r>
              <w:rPr>
                <w:bCs/>
                <w:iCs/>
                <w:sz w:val="20"/>
                <w:szCs w:val="20"/>
              </w:rPr>
              <w:t>     </w:t>
            </w:r>
            <w:r>
              <w:rPr>
                <w:sz w:val="20"/>
                <w:szCs w:val="20"/>
              </w:rPr>
              <w:fldChar w:fldCharType="end"/>
            </w:r>
          </w:p>
        </w:tc>
      </w:tr>
    </w:tbl>
    <w:p w14:paraId="7C86ED54" w14:textId="77777777" w:rsidR="00C87690" w:rsidRDefault="00CF5E28">
      <w:pPr>
        <w:spacing w:before="240" w:after="240"/>
        <w:jc w:val="center"/>
        <w:rPr>
          <w:color w:val="4F81BD"/>
          <w:lang w:eastAsia="en-US"/>
        </w:rPr>
      </w:pPr>
      <w:r>
        <w:br w:type="page"/>
      </w:r>
    </w:p>
    <w:p w14:paraId="5F4B9FE8" w14:textId="77777777" w:rsidR="00C87690" w:rsidRDefault="00CF5E28">
      <w:pPr>
        <w:pStyle w:val="Annex"/>
        <w:jc w:val="center"/>
      </w:pPr>
      <w:proofErr w:type="gramStart"/>
      <w:r>
        <w:t>ANNEX  B</w:t>
      </w:r>
      <w:proofErr w:type="gramEnd"/>
    </w:p>
    <w:p w14:paraId="734272CD" w14:textId="4D1C75E2" w:rsidR="00C87690" w:rsidRDefault="00CF5E28">
      <w:r>
        <w:t xml:space="preserve">The purpose is the develop a suite of technical service specification that can be implemented at </w:t>
      </w:r>
      <w:proofErr w:type="gramStart"/>
      <w:r>
        <w:t xml:space="preserve">VTS  </w:t>
      </w:r>
      <w:proofErr w:type="spellStart"/>
      <w:r>
        <w:t>centers</w:t>
      </w:r>
      <w:proofErr w:type="spellEnd"/>
      <w:proofErr w:type="gramEnd"/>
      <w:r>
        <w:t xml:space="preserve"> and facilitate exchange of digital information between VTS and relevant systems - mainly including ECDIS.</w:t>
      </w:r>
    </w:p>
    <w:p w14:paraId="573B1569" w14:textId="77777777" w:rsidR="00C87690" w:rsidRDefault="00C87690"/>
    <w:p w14:paraId="10B14F90" w14:textId="77777777" w:rsidR="00C87690" w:rsidRDefault="00CF5E28">
      <w:r>
        <w:t>The most basic guideline/standards and other relevant documents will be</w:t>
      </w:r>
    </w:p>
    <w:p w14:paraId="7D4608CC" w14:textId="77777777" w:rsidR="00C87690" w:rsidRDefault="00C87690"/>
    <w:p w14:paraId="02CC70E0" w14:textId="77777777" w:rsidR="00C87690" w:rsidRDefault="007D3CBF">
      <w:pPr>
        <w:ind w:left="709"/>
      </w:pPr>
      <w:hyperlink r:id="rId16">
        <w:r w:rsidR="00CF5E28">
          <w:rPr>
            <w:rStyle w:val="Hyperlink"/>
            <w:color w:val="000080"/>
            <w:u w:val="single"/>
          </w:rPr>
          <w:t>G1128</w:t>
        </w:r>
      </w:hyperlink>
      <w:r w:rsidR="00CF5E28">
        <w:t xml:space="preserve"> - The specification of e-Navigation technical services</w:t>
      </w:r>
    </w:p>
    <w:p w14:paraId="7812F11A" w14:textId="77777777" w:rsidR="00C87690" w:rsidRDefault="00CF5E28">
      <w:pPr>
        <w:ind w:left="709"/>
      </w:pPr>
      <w:r>
        <w:t>This is the overall technology agnostic guideline that the specifications should follow</w:t>
      </w:r>
    </w:p>
    <w:p w14:paraId="09B86757" w14:textId="77777777" w:rsidR="00C87690" w:rsidRDefault="00C87690"/>
    <w:p w14:paraId="02612696" w14:textId="57E33DA9" w:rsidR="00C87690" w:rsidRDefault="00CF5E28">
      <w:pPr>
        <w:ind w:left="709"/>
      </w:pPr>
      <w:r>
        <w:t xml:space="preserve">S-XXX - The </w:t>
      </w:r>
      <w:proofErr w:type="spellStart"/>
      <w:r>
        <w:t>datamodels</w:t>
      </w:r>
      <w:proofErr w:type="spellEnd"/>
      <w:r>
        <w:t xml:space="preserve"> for the services will (most likely) be taken from the appropriate S-100 - primarily </w:t>
      </w:r>
      <w:hyperlink r:id="rId17">
        <w:r>
          <w:rPr>
            <w:rStyle w:val="Hyperlink"/>
            <w:color w:val="000080"/>
            <w:u w:val="single"/>
          </w:rPr>
          <w:t>S-212</w:t>
        </w:r>
      </w:hyperlink>
      <w:hyperlink r:id="rId18">
        <w:r>
          <w:rPr>
            <w:rStyle w:val="Hyperlink"/>
            <w:color w:val="000080"/>
            <w:u w:val="single"/>
          </w:rPr>
          <w:t xml:space="preserve"> </w:t>
        </w:r>
      </w:hyperlink>
      <w:r>
        <w:rPr>
          <w:rStyle w:val="Hyperlink"/>
          <w:color w:val="000080"/>
          <w:u w:val="single"/>
        </w:rPr>
        <w:t>– VTS Digital information service product specification</w:t>
      </w:r>
      <w:r>
        <w:t>, which is under development in another VTS task group</w:t>
      </w:r>
    </w:p>
    <w:p w14:paraId="641201E3" w14:textId="77777777" w:rsidR="00C87690" w:rsidRDefault="00C87690">
      <w:pPr>
        <w:ind w:left="709"/>
      </w:pPr>
    </w:p>
    <w:p w14:paraId="21DF408E" w14:textId="77777777" w:rsidR="00C87690" w:rsidRDefault="00CF5E28">
      <w:pPr>
        <w:ind w:left="709"/>
      </w:pPr>
      <w:r>
        <w:t xml:space="preserve">The overall description of the </w:t>
      </w:r>
      <w:hyperlink r:id="rId19">
        <w:r>
          <w:rPr>
            <w:rStyle w:val="Hyperlink"/>
            <w:color w:val="000080"/>
            <w:u w:val="single"/>
          </w:rPr>
          <w:t>Maritime Service Description for VTS</w:t>
        </w:r>
      </w:hyperlink>
    </w:p>
    <w:p w14:paraId="0CBC3EF6" w14:textId="1C845D15" w:rsidR="00C87690" w:rsidRDefault="00CF5E28">
      <w:pPr>
        <w:ind w:left="709"/>
      </w:pPr>
      <w:r>
        <w:t xml:space="preserve">The document </w:t>
      </w:r>
      <w:proofErr w:type="gramStart"/>
      <w:r>
        <w:t>makes reference</w:t>
      </w:r>
      <w:proofErr w:type="gramEnd"/>
      <w:r>
        <w:t xml:space="preserve"> to (identifies) the </w:t>
      </w:r>
      <w:proofErr w:type="spellStart"/>
      <w:r>
        <w:t>technicialservices</w:t>
      </w:r>
      <w:proofErr w:type="spellEnd"/>
      <w:r>
        <w:t xml:space="preserve"> that this group will specify</w:t>
      </w:r>
    </w:p>
    <w:p w14:paraId="2CC81FC3" w14:textId="77777777" w:rsidR="00C87690" w:rsidRDefault="00C87690">
      <w:pPr>
        <w:ind w:left="709"/>
      </w:pPr>
    </w:p>
    <w:p w14:paraId="14773EC1" w14:textId="77777777" w:rsidR="00C87690" w:rsidRDefault="007D3CBF">
      <w:pPr>
        <w:ind w:left="709"/>
      </w:pPr>
      <w:hyperlink r:id="rId20">
        <w:r w:rsidR="00CF5E28">
          <w:rPr>
            <w:rStyle w:val="Hyperlink"/>
            <w:color w:val="000080"/>
            <w:u w:val="single"/>
          </w:rPr>
          <w:t>G1143</w:t>
        </w:r>
      </w:hyperlink>
      <w:r w:rsidR="00CF5E28">
        <w:t xml:space="preserve"> - Unique identifiers for maritime resources (MRN)</w:t>
      </w:r>
    </w:p>
    <w:p w14:paraId="3DAF2D75" w14:textId="1CF3C2C7" w:rsidR="00C87690" w:rsidRDefault="00CF5E28">
      <w:pPr>
        <w:ind w:left="709"/>
      </w:pPr>
      <w:r>
        <w:t xml:space="preserve">Everything (Data, the services </w:t>
      </w:r>
      <w:proofErr w:type="spellStart"/>
      <w:r>
        <w:t>them selves</w:t>
      </w:r>
      <w:proofErr w:type="spellEnd"/>
      <w:r>
        <w:t>, etc) needing a unique identifier will be given an (one or more) MRN</w:t>
      </w:r>
    </w:p>
    <w:p w14:paraId="046FB5F4" w14:textId="77777777" w:rsidR="00C87690" w:rsidRDefault="00C87690">
      <w:pPr>
        <w:ind w:left="709"/>
      </w:pPr>
    </w:p>
    <w:p w14:paraId="4CA3F9F4" w14:textId="77777777" w:rsidR="00C87690" w:rsidRDefault="007D3CBF">
      <w:pPr>
        <w:ind w:left="709"/>
      </w:pPr>
      <w:hyperlink r:id="rId21">
        <w:r w:rsidR="00CF5E28">
          <w:rPr>
            <w:rStyle w:val="Hyperlink"/>
            <w:color w:val="000080"/>
            <w:u w:val="single"/>
          </w:rPr>
          <w:t>G1157</w:t>
        </w:r>
      </w:hyperlink>
      <w:r w:rsidR="00CF5E28">
        <w:t xml:space="preserve"> - Web Service Based S-100 Data Exchange</w:t>
      </w:r>
    </w:p>
    <w:p w14:paraId="49B8D4D7" w14:textId="77777777" w:rsidR="00C87690" w:rsidRDefault="00CF5E28">
      <w:pPr>
        <w:ind w:left="709"/>
      </w:pPr>
      <w:r>
        <w:t xml:space="preserve">Describes how to make G1128 services using internet technology - </w:t>
      </w:r>
      <w:proofErr w:type="gramStart"/>
      <w:r>
        <w:t>i.e.</w:t>
      </w:r>
      <w:proofErr w:type="gramEnd"/>
      <w:r>
        <w:t xml:space="preserve"> less technology agnostic.</w:t>
      </w:r>
    </w:p>
    <w:p w14:paraId="52CA15B8" w14:textId="77777777" w:rsidR="00C87690" w:rsidRDefault="00C87690">
      <w:pPr>
        <w:ind w:left="709"/>
      </w:pPr>
    </w:p>
    <w:p w14:paraId="2DB016FA" w14:textId="77777777" w:rsidR="00C87690" w:rsidRDefault="007D3CBF">
      <w:pPr>
        <w:ind w:left="709"/>
      </w:pPr>
      <w:hyperlink r:id="rId22">
        <w:r w:rsidR="00CF5E28">
          <w:rPr>
            <w:rStyle w:val="Hyperlink"/>
            <w:color w:val="000080"/>
            <w:u w:val="single"/>
          </w:rPr>
          <w:t>G1161</w:t>
        </w:r>
      </w:hyperlink>
      <w:r w:rsidR="00CF5E28">
        <w:t xml:space="preserve"> - Evaluation-of-Platforms-for-the-Provision-of-Maritime-Services</w:t>
      </w:r>
    </w:p>
    <w:p w14:paraId="576E3435" w14:textId="77777777" w:rsidR="00C87690" w:rsidRDefault="00CF5E28">
      <w:pPr>
        <w:ind w:left="709"/>
      </w:pPr>
      <w:r>
        <w:t xml:space="preserve">A guideline that established the need for a platform that facilitates authentication of service provider/consumer and service discoverability among other things, </w:t>
      </w:r>
      <w:proofErr w:type="gramStart"/>
      <w:r>
        <w:t>i.e.</w:t>
      </w:r>
      <w:proofErr w:type="gramEnd"/>
      <w:r>
        <w:t xml:space="preserve"> the </w:t>
      </w:r>
      <w:hyperlink r:id="rId23">
        <w:r>
          <w:rPr>
            <w:rStyle w:val="Hyperlink"/>
            <w:color w:val="000080"/>
            <w:u w:val="single"/>
          </w:rPr>
          <w:t>Maritime Connectivity Platform</w:t>
        </w:r>
      </w:hyperlink>
      <w:r>
        <w:t>.</w:t>
      </w:r>
    </w:p>
    <w:p w14:paraId="39D5C8B8" w14:textId="77777777" w:rsidR="00C87690" w:rsidRDefault="00C87690">
      <w:pPr>
        <w:ind w:left="709"/>
      </w:pPr>
    </w:p>
    <w:p w14:paraId="59821129" w14:textId="77777777" w:rsidR="00C87690" w:rsidRDefault="007D3CBF">
      <w:pPr>
        <w:ind w:left="709"/>
      </w:pPr>
      <w:hyperlink r:id="rId24">
        <w:r w:rsidR="00CF5E28">
          <w:rPr>
            <w:rStyle w:val="Hyperlink"/>
            <w:color w:val="000080"/>
            <w:u w:val="single"/>
          </w:rPr>
          <w:t>IEC 63173-2</w:t>
        </w:r>
      </w:hyperlink>
      <w:hyperlink r:id="rId25">
        <w:r w:rsidR="00CF5E28">
          <w:rPr>
            <w:rStyle w:val="Hyperlink"/>
            <w:color w:val="000080"/>
            <w:u w:val="single"/>
          </w:rPr>
          <w:t xml:space="preserve"> SECOM</w:t>
        </w:r>
      </w:hyperlink>
      <w:r w:rsidR="00CF5E28">
        <w:t xml:space="preserve"> - Secure exchange and communication of S-100 based products</w:t>
      </w:r>
    </w:p>
    <w:p w14:paraId="6DD93552" w14:textId="77777777" w:rsidR="00C87690" w:rsidRDefault="00CF5E28">
      <w:pPr>
        <w:ind w:left="709"/>
      </w:pPr>
      <w:r>
        <w:t>A standard that follows both G1128 and G1143, and in detail describes how to specify a service that facilitates data exchange between a shore entity and a ship (ECDIS)</w:t>
      </w:r>
    </w:p>
    <w:p w14:paraId="40DF8C6A" w14:textId="4E83FF18" w:rsidR="00C87690" w:rsidRDefault="00CF5E28">
      <w:pPr>
        <w:ind w:left="709"/>
      </w:pPr>
      <w:r>
        <w:t>It is the expectation that a revised ECDIS performance standard will refer to this IEC standard - and thus make it possible to deliver S-100 data (including VTS) directly to the ECDIS.</w:t>
      </w:r>
    </w:p>
    <w:p w14:paraId="5B1AA1A3" w14:textId="77777777" w:rsidR="00C87690" w:rsidRDefault="00C87690">
      <w:pPr>
        <w:ind w:left="709"/>
      </w:pPr>
    </w:p>
    <w:p w14:paraId="27B7CFF8" w14:textId="77777777" w:rsidR="00C87690" w:rsidRDefault="00CF5E28">
      <w:pPr>
        <w:ind w:left="709"/>
      </w:pPr>
      <w:r>
        <w:t xml:space="preserve">Draft technical service for providing </w:t>
      </w:r>
      <w:proofErr w:type="spellStart"/>
      <w:r>
        <w:t>AtoN</w:t>
      </w:r>
      <w:proofErr w:type="spellEnd"/>
      <w:r>
        <w:t xml:space="preserve"> information is being developed</w:t>
      </w:r>
    </w:p>
    <w:p w14:paraId="51B22A32" w14:textId="38DE1B67" w:rsidR="00C87690" w:rsidRDefault="00CF5E28">
      <w:pPr>
        <w:ind w:left="709"/>
      </w:pPr>
      <w:r>
        <w:t>This is being developed by a joint ARM/</w:t>
      </w:r>
      <w:proofErr w:type="gramStart"/>
      <w:r>
        <w:t>ENAV  task</w:t>
      </w:r>
      <w:proofErr w:type="gramEnd"/>
      <w:r>
        <w:t xml:space="preserve"> groups</w:t>
      </w:r>
    </w:p>
    <w:p w14:paraId="3B09967B" w14:textId="77777777" w:rsidR="00C87690" w:rsidRDefault="00CF5E28">
      <w:pPr>
        <w:ind w:left="709"/>
      </w:pPr>
      <w:r>
        <w:t xml:space="preserve">The specification can be found </w:t>
      </w:r>
      <w:hyperlink r:id="rId26">
        <w:r>
          <w:rPr>
            <w:rStyle w:val="Hyperlink"/>
            <w:color w:val="000080"/>
            <w:u w:val="single"/>
          </w:rPr>
          <w:t>here</w:t>
        </w:r>
      </w:hyperlink>
    </w:p>
    <w:p w14:paraId="79DED01C" w14:textId="77777777" w:rsidR="00C87690" w:rsidRDefault="00CF5E28">
      <w:pPr>
        <w:ind w:left="709"/>
      </w:pPr>
      <w:r>
        <w:t xml:space="preserve">In a sub-directory, there is also a draft IHO technical service specification for the provision of navigational warnings using the </w:t>
      </w:r>
      <w:proofErr w:type="spellStart"/>
      <w:r>
        <w:t>datamodel</w:t>
      </w:r>
      <w:proofErr w:type="spellEnd"/>
      <w:r>
        <w:t xml:space="preserve"> from S124. This is a more mature specification, and the </w:t>
      </w:r>
      <w:proofErr w:type="spellStart"/>
      <w:r>
        <w:t>AtoN</w:t>
      </w:r>
      <w:proofErr w:type="spellEnd"/>
      <w:r>
        <w:t xml:space="preserve"> specification has been using that as inspiration</w:t>
      </w:r>
    </w:p>
    <w:p w14:paraId="73E2C3CC" w14:textId="77777777" w:rsidR="00C87690" w:rsidRDefault="00C87690"/>
    <w:p w14:paraId="5D7E4C3D" w14:textId="3BCE1689" w:rsidR="00C87690" w:rsidRDefault="00CF5E28">
      <w:r>
        <w:t>In addition to the above guidelines/documents describing how to develop the technical services several VTS document will be relevant both with regard to the identification of the technical services from requirements / use-cases and possible some that we may wish to influence by making references to the technical services we will be specifying.</w:t>
      </w:r>
    </w:p>
    <w:p w14:paraId="513FA5FD" w14:textId="77777777" w:rsidR="00C87690" w:rsidRDefault="00C87690"/>
    <w:p w14:paraId="11CFAEFC" w14:textId="6C43509F" w:rsidR="00C87690" w:rsidRDefault="007D3CBF">
      <w:pPr>
        <w:ind w:left="709"/>
      </w:pPr>
      <w:hyperlink r:id="rId27">
        <w:r w:rsidR="00CF5E28">
          <w:rPr>
            <w:rStyle w:val="Hyperlink"/>
            <w:color w:val="000080"/>
            <w:u w:val="single"/>
          </w:rPr>
          <w:t>G1141</w:t>
        </w:r>
      </w:hyperlink>
      <w:r w:rsidR="00CF5E28">
        <w:t xml:space="preserve"> Operational Procedures for Delivering VTS</w:t>
      </w:r>
    </w:p>
    <w:p w14:paraId="6778A561" w14:textId="4EB21060" w:rsidR="00C87690" w:rsidRDefault="00CF5E28">
      <w:pPr>
        <w:ind w:left="709"/>
      </w:pPr>
      <w:r>
        <w:t xml:space="preserve">This is a very central IALA document regarding VTS. We should make sure that this </w:t>
      </w:r>
      <w:proofErr w:type="gramStart"/>
      <w:r>
        <w:t>document  refer</w:t>
      </w:r>
      <w:proofErr w:type="gramEnd"/>
      <w:r>
        <w:t xml:space="preserve"> to the technical service specifications that will be developed. This would ensure that VTS centres in the future will be implementing these services.</w:t>
      </w:r>
    </w:p>
    <w:p w14:paraId="1A6D5E0C" w14:textId="77777777" w:rsidR="00C87690" w:rsidRDefault="00C87690">
      <w:pPr>
        <w:ind w:left="709"/>
      </w:pPr>
    </w:p>
    <w:p w14:paraId="70BDA3BC" w14:textId="77777777" w:rsidR="00C87690" w:rsidRDefault="007D3CBF">
      <w:pPr>
        <w:ind w:left="709"/>
      </w:pPr>
      <w:hyperlink r:id="rId28">
        <w:r w:rsidR="00CF5E28">
          <w:rPr>
            <w:rStyle w:val="Hyperlink"/>
            <w:color w:val="000080"/>
            <w:u w:val="single"/>
          </w:rPr>
          <w:t>G1089</w:t>
        </w:r>
      </w:hyperlink>
      <w:r w:rsidR="00CF5E28">
        <w:t xml:space="preserve"> Provision of a VTS</w:t>
      </w:r>
    </w:p>
    <w:p w14:paraId="363F5809" w14:textId="77777777" w:rsidR="00C87690" w:rsidRDefault="00CF5E28">
      <w:pPr>
        <w:ind w:left="709"/>
      </w:pPr>
      <w:r>
        <w:t>As the above - but perhaps an even more fundamental VTS document</w:t>
      </w:r>
    </w:p>
    <w:p w14:paraId="37212B1C" w14:textId="77777777" w:rsidR="00C87690" w:rsidRDefault="00C87690">
      <w:pPr>
        <w:ind w:left="709"/>
      </w:pPr>
    </w:p>
    <w:p w14:paraId="0E7FA2D9" w14:textId="77777777" w:rsidR="00C87690" w:rsidRDefault="00CF5E28">
      <w:pPr>
        <w:ind w:left="709"/>
      </w:pPr>
      <w:hyperlink r:id="rId29">
        <w:r>
          <w:rPr>
            <w:rStyle w:val="Hyperlink"/>
            <w:color w:val="000080"/>
            <w:u w:val="single"/>
          </w:rPr>
          <w:t>R0127</w:t>
        </w:r>
        <w:r>
          <w:rPr>
            <w:rStyle w:val="Hyperlink"/>
          </w:rPr>
          <w:t xml:space="preserve"> (V-127) VTS Operations</w:t>
        </w:r>
      </w:hyperlink>
      <w:r>
        <w:br/>
        <w:t xml:space="preserve">Describing VTS on the highest level, </w:t>
      </w:r>
      <w:proofErr w:type="gramStart"/>
      <w:r>
        <w:t>making reference</w:t>
      </w:r>
      <w:proofErr w:type="gramEnd"/>
      <w:r>
        <w:t xml:space="preserve"> to more specific documents including G1141 and G1089</w:t>
      </w:r>
    </w:p>
    <w:p w14:paraId="519711DC" w14:textId="77777777" w:rsidR="00C87690" w:rsidRDefault="00C87690">
      <w:pPr>
        <w:ind w:left="709"/>
      </w:pPr>
    </w:p>
    <w:p w14:paraId="2B94F326" w14:textId="77777777" w:rsidR="00C87690" w:rsidRPr="007D3CBF" w:rsidRDefault="00CF5E28">
      <w:pPr>
        <w:ind w:left="709"/>
        <w:rPr>
          <w:lang w:val="fr-FR"/>
        </w:rPr>
      </w:pPr>
      <w:hyperlink r:id="rId30">
        <w:r w:rsidRPr="007D3CBF">
          <w:rPr>
            <w:rStyle w:val="Hyperlink"/>
            <w:color w:val="000080"/>
            <w:u w:val="single"/>
            <w:lang w:val="fr-FR"/>
          </w:rPr>
          <w:t>R0145</w:t>
        </w:r>
        <w:r w:rsidRPr="007D3CBF">
          <w:rPr>
            <w:rStyle w:val="Hyperlink"/>
            <w:lang w:val="fr-FR"/>
          </w:rPr>
          <w:t xml:space="preserve"> INTER-VTS EXCHANGE FORMAT SERVICE (V-145)</w:t>
        </w:r>
      </w:hyperlink>
    </w:p>
    <w:p w14:paraId="0C40C490" w14:textId="202B10EA" w:rsidR="00C87690" w:rsidRPr="007D3CBF" w:rsidRDefault="00C87690">
      <w:pPr>
        <w:ind w:left="709"/>
        <w:rPr>
          <w:lang w:val="fr-FR"/>
        </w:rPr>
      </w:pPr>
    </w:p>
    <w:p w14:paraId="2BC16DEE" w14:textId="77777777" w:rsidR="00C87690" w:rsidRPr="007D3CBF" w:rsidRDefault="00C87690">
      <w:pPr>
        <w:rPr>
          <w:lang w:val="fr-FR"/>
        </w:rPr>
      </w:pPr>
    </w:p>
    <w:p w14:paraId="36A2FDFB" w14:textId="77777777" w:rsidR="00C87690" w:rsidRPr="007D3CBF" w:rsidRDefault="00C87690">
      <w:pPr>
        <w:rPr>
          <w:lang w:val="fr-FR"/>
        </w:rPr>
      </w:pPr>
    </w:p>
    <w:p w14:paraId="25F65AB4" w14:textId="77777777" w:rsidR="00C87690" w:rsidRDefault="00CF5E28">
      <w:r>
        <w:t>Other possibly relevant guidelines:</w:t>
      </w:r>
    </w:p>
    <w:p w14:paraId="77028108" w14:textId="77777777" w:rsidR="00C87690" w:rsidRDefault="00C87690"/>
    <w:p w14:paraId="361D0159" w14:textId="77777777" w:rsidR="00C87690" w:rsidRDefault="007D3CBF">
      <w:pPr>
        <w:ind w:left="709"/>
      </w:pPr>
      <w:hyperlink r:id="rId31">
        <w:r w:rsidR="00CF5E28">
          <w:rPr>
            <w:rStyle w:val="Hyperlink"/>
            <w:color w:val="000080"/>
            <w:u w:val="single"/>
          </w:rPr>
          <w:t>G1159</w:t>
        </w:r>
      </w:hyperlink>
      <w:r w:rsidR="00CF5E28">
        <w:t xml:space="preserve"> – SHIP REPORTING FROM A SHORE-BASED PERSPECTIVE</w:t>
      </w:r>
    </w:p>
    <w:p w14:paraId="11C98D79" w14:textId="77777777" w:rsidR="00C87690" w:rsidRDefault="00C87690">
      <w:pPr>
        <w:ind w:left="709"/>
      </w:pPr>
    </w:p>
    <w:p w14:paraId="7C452223" w14:textId="77777777" w:rsidR="00C87690" w:rsidRDefault="00CF5E28">
      <w:pPr>
        <w:ind w:left="709"/>
      </w:pPr>
      <w:r>
        <w:t xml:space="preserve">The </w:t>
      </w:r>
      <w:hyperlink r:id="rId32">
        <w:r>
          <w:rPr>
            <w:rStyle w:val="Hyperlink"/>
            <w:color w:val="000080"/>
            <w:u w:val="single"/>
          </w:rPr>
          <w:t>IMO Compendium</w:t>
        </w:r>
      </w:hyperlink>
      <w:r>
        <w:t xml:space="preserve"> on Facilitation and Electronic Business</w:t>
      </w:r>
    </w:p>
    <w:sectPr w:rsidR="00C87690">
      <w:headerReference w:type="default" r:id="rId33"/>
      <w:footerReference w:type="default" r:id="rId34"/>
      <w:pgSz w:w="11906" w:h="16838"/>
      <w:pgMar w:top="1134" w:right="1134" w:bottom="1134"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6C40" w14:textId="77777777" w:rsidR="00B539D0" w:rsidRDefault="00CF5E28">
      <w:r>
        <w:separator/>
      </w:r>
    </w:p>
  </w:endnote>
  <w:endnote w:type="continuationSeparator" w:id="0">
    <w:p w14:paraId="4D056581" w14:textId="77777777" w:rsidR="00B539D0" w:rsidRDefault="00CF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F4995" w14:textId="77777777" w:rsidR="00C87690" w:rsidRDefault="00CF5E28">
    <w:pPr>
      <w:pStyle w:val="Footer"/>
    </w:pPr>
    <w:r>
      <w:rPr>
        <w:rFonts w:ascii="Calibri" w:hAnsi="Calibri"/>
        <w:sz w:val="20"/>
        <w:szCs w:val="20"/>
      </w:rPr>
      <w:t xml:space="preserve">Work on a technical service for provisioning of </w:t>
    </w:r>
    <w:proofErr w:type="spellStart"/>
    <w:proofErr w:type="gramStart"/>
    <w:r>
      <w:rPr>
        <w:rFonts w:ascii="Calibri" w:hAnsi="Calibri"/>
        <w:sz w:val="20"/>
        <w:szCs w:val="20"/>
      </w:rPr>
      <w:t>AtoN</w:t>
    </w:r>
    <w:proofErr w:type="spellEnd"/>
    <w:r>
      <w:rPr>
        <w:rFonts w:ascii="Calibri" w:hAnsi="Calibri"/>
        <w:sz w:val="20"/>
        <w:szCs w:val="20"/>
      </w:rPr>
      <w:t xml:space="preserve">  information</w:t>
    </w:r>
    <w:proofErr w:type="gramEnd"/>
    <w:r>
      <w:rPr>
        <w:rFonts w:ascii="Calibri" w:hAnsi="Calibri"/>
      </w:rPr>
      <w:tab/>
    </w:r>
    <w:r>
      <w:rPr>
        <w:rFonts w:ascii="Calibri" w:hAnsi="Calibri"/>
      </w:rPr>
      <w:fldChar w:fldCharType="begin"/>
    </w:r>
    <w:r>
      <w:rPr>
        <w:rFonts w:ascii="Calibri" w:hAnsi="Calibri"/>
      </w:rPr>
      <w:instrText>PAGE</w:instrText>
    </w:r>
    <w:r>
      <w:rPr>
        <w:rFonts w:ascii="Calibri" w:hAnsi="Calibri"/>
      </w:rPr>
      <w:fldChar w:fldCharType="separate"/>
    </w:r>
    <w:r>
      <w:rPr>
        <w:rFonts w:ascii="Calibri" w:hAnsi="Calibri"/>
      </w:rPr>
      <w:t>2</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99F68" w14:textId="77777777" w:rsidR="00C87690" w:rsidRDefault="00CF5E28">
    <w:pPr>
      <w:pStyle w:val="Footer"/>
    </w:pPr>
    <w:r>
      <w:rPr>
        <w:rFonts w:ascii="Calibri" w:hAnsi="Calibri"/>
        <w:sz w:val="20"/>
        <w:szCs w:val="20"/>
      </w:rPr>
      <w:t>Input paper title</w:t>
    </w:r>
    <w:r>
      <w:rPr>
        <w:rFonts w:ascii="Calibri" w:hAnsi="Calibri"/>
      </w:rPr>
      <w:tab/>
    </w:r>
    <w:r>
      <w:rPr>
        <w:rFonts w:ascii="Calibri" w:hAnsi="Calibri"/>
      </w:rPr>
      <w:fldChar w:fldCharType="begin"/>
    </w:r>
    <w:r>
      <w:rPr>
        <w:rFonts w:ascii="Calibri" w:hAnsi="Calibri"/>
      </w:rPr>
      <w:instrText>PAGE</w:instrText>
    </w:r>
    <w:r>
      <w:rPr>
        <w:rFonts w:ascii="Calibri" w:hAnsi="Calibri"/>
      </w:rPr>
      <w:fldChar w:fldCharType="separate"/>
    </w:r>
    <w:r>
      <w:rPr>
        <w:rFonts w:ascii="Calibri" w:hAnsi="Calibri"/>
      </w:rPr>
      <w:t>6</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70B1" w14:textId="77777777" w:rsidR="00C87690" w:rsidRDefault="00C87690">
      <w:pPr>
        <w:rPr>
          <w:sz w:val="12"/>
        </w:rPr>
      </w:pPr>
    </w:p>
  </w:footnote>
  <w:footnote w:type="continuationSeparator" w:id="0">
    <w:p w14:paraId="3A82C567" w14:textId="77777777" w:rsidR="00C87690" w:rsidRDefault="00C87690">
      <w:pPr>
        <w:rPr>
          <w:sz w:val="12"/>
        </w:rPr>
      </w:pPr>
    </w:p>
  </w:footnote>
  <w:footnote w:id="1">
    <w:p w14:paraId="04502CAF" w14:textId="77777777" w:rsidR="00C87690" w:rsidRDefault="00CF5E28">
      <w:pPr>
        <w:pStyle w:val="FootnoteText"/>
      </w:pPr>
      <w:r>
        <w:rPr>
          <w:rStyle w:val="FootnoteCharacters"/>
        </w:rPr>
        <w:footnoteRef/>
      </w:r>
      <w:r>
        <w:t xml:space="preserve"> </w:t>
      </w:r>
      <w:r>
        <w:rPr>
          <w:sz w:val="16"/>
          <w:szCs w:val="16"/>
        </w:rPr>
        <w:t>Input document number, to be assigned by the Committee Secretary</w:t>
      </w:r>
    </w:p>
  </w:footnote>
  <w:footnote w:id="2">
    <w:p w14:paraId="12CEF4BE" w14:textId="77777777" w:rsidR="00C87690" w:rsidRDefault="00CF5E28">
      <w:pPr>
        <w:pStyle w:val="FootnoteText"/>
      </w:pPr>
      <w:r>
        <w:rPr>
          <w:rStyle w:val="FootnoteCharacters"/>
        </w:rPr>
        <w:footnoteRef/>
      </w:r>
      <w:r>
        <w:t xml:space="preserve"> </w:t>
      </w:r>
      <w:r>
        <w:rPr>
          <w:sz w:val="16"/>
          <w:szCs w:val="16"/>
        </w:rPr>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D8596" w14:textId="77777777" w:rsidR="00C87690" w:rsidRDefault="00CF5E28">
    <w:pPr>
      <w:pStyle w:val="Header"/>
      <w:jc w:val="right"/>
    </w:pPr>
    <w:r>
      <w:rPr>
        <w:noProof/>
      </w:rPr>
      <mc:AlternateContent>
        <mc:Choice Requires="wps">
          <w:drawing>
            <wp:anchor distT="0" distB="0" distL="0" distR="0" simplePos="0" relativeHeight="2" behindDoc="1" locked="0" layoutInCell="0" allowOverlap="1" wp14:anchorId="7A98B929" wp14:editId="5004517B">
              <wp:simplePos x="0" y="0"/>
              <wp:positionH relativeFrom="margin">
                <wp:align>center</wp:align>
              </wp:positionH>
              <wp:positionV relativeFrom="margin">
                <wp:align>center</wp:align>
              </wp:positionV>
              <wp:extent cx="586105" cy="582930"/>
              <wp:effectExtent l="0" t="0" r="0" b="0"/>
              <wp:wrapNone/>
              <wp:docPr id="1" name="PowerPlusWaterMarkObject79770658"/>
              <wp:cNvGraphicFramePr/>
              <a:graphic xmlns:a="http://schemas.openxmlformats.org/drawingml/2006/main">
                <a:graphicData uri="http://schemas.microsoft.com/office/word/2010/wordprocessingShape">
                  <wps:wsp>
                    <wps:cNvSpPr/>
                    <wps:spPr>
                      <a:xfrm>
                        <a:off x="0" y="0"/>
                        <a:ext cx="585360" cy="5821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PowerPlusWaterMarkObject79770658" o:spid="shape_0" path="m0,0l-2147483645,0l-2147483645,-2147483646l0,-2147483646xe" stroked="f" o:allowincell="f" style="position:absolute;margin-left:221.45pt;margin-top:345.6pt;width:46.05pt;height:49.35pt;mso-wrap-style:none;v-text-anchor:middle;mso-position-horizontal:center;mso-position-horizontal-relative:margin;mso-position-vertical:center;mso-position-vertical-relative:margin">
              <v:fill o:detectmouseclick="t" on="false"/>
              <v:stroke color="#3465a4" joinstyle="round" endcap="flat"/>
              <w10:wrap type="none"/>
            </v:rect>
          </w:pict>
        </mc:Fallback>
      </mc:AlternateContent>
    </w:r>
    <w:r>
      <w:rPr>
        <w:noProof/>
      </w:rPr>
      <w:drawing>
        <wp:anchor distT="0" distB="0" distL="114300" distR="114300" simplePos="0" relativeHeight="9" behindDoc="0" locked="0" layoutInCell="0" allowOverlap="1" wp14:anchorId="50B6B1A0" wp14:editId="0BC92E14">
          <wp:simplePos x="0" y="0"/>
          <wp:positionH relativeFrom="column">
            <wp:posOffset>5447030</wp:posOffset>
          </wp:positionH>
          <wp:positionV relativeFrom="paragraph">
            <wp:posOffset>-427990</wp:posOffset>
          </wp:positionV>
          <wp:extent cx="574675" cy="560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0C5C" w14:textId="77777777" w:rsidR="00C87690" w:rsidRDefault="00CF5E28">
    <w:pPr>
      <w:pStyle w:val="Header"/>
      <w:jc w:val="center"/>
    </w:pPr>
    <w:r>
      <w:rPr>
        <w:noProof/>
      </w:rPr>
      <w:drawing>
        <wp:anchor distT="0" distB="0" distL="114300" distR="114300" simplePos="0" relativeHeight="8" behindDoc="0" locked="0" layoutInCell="0" allowOverlap="1" wp14:anchorId="3FF97EC5" wp14:editId="61812CAC">
          <wp:simplePos x="0" y="0"/>
          <wp:positionH relativeFrom="column">
            <wp:posOffset>2523490</wp:posOffset>
          </wp:positionH>
          <wp:positionV relativeFrom="paragraph">
            <wp:posOffset>-405130</wp:posOffset>
          </wp:positionV>
          <wp:extent cx="852805" cy="8312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852805" cy="831215"/>
                  </a:xfrm>
                  <a:prstGeom prst="rect">
                    <a:avLst/>
                  </a:prstGeom>
                </pic:spPr>
              </pic:pic>
            </a:graphicData>
          </a:graphic>
        </wp:anchor>
      </w:drawing>
    </w:r>
  </w:p>
  <w:p w14:paraId="2369112C" w14:textId="77777777" w:rsidR="00C87690" w:rsidRDefault="00C87690">
    <w:pPr>
      <w:pStyle w:val="Header"/>
      <w:jc w:val="center"/>
    </w:pPr>
  </w:p>
  <w:p w14:paraId="10C48042" w14:textId="77777777" w:rsidR="00C87690" w:rsidRDefault="00CF5E28">
    <w:pPr>
      <w:pStyle w:val="Header"/>
      <w:jc w:val="center"/>
    </w:pPr>
    <w:r>
      <w:rPr>
        <w:noProof/>
      </w:rPr>
      <mc:AlternateContent>
        <mc:Choice Requires="wps">
          <w:drawing>
            <wp:anchor distT="0" distB="0" distL="0" distR="0" simplePos="0" relativeHeight="3" behindDoc="1" locked="0" layoutInCell="0" allowOverlap="1" wp14:anchorId="339BABE9" wp14:editId="761ED2EC">
              <wp:simplePos x="0" y="0"/>
              <wp:positionH relativeFrom="margin">
                <wp:align>center</wp:align>
              </wp:positionH>
              <wp:positionV relativeFrom="margin">
                <wp:align>center</wp:align>
              </wp:positionV>
              <wp:extent cx="586105" cy="582930"/>
              <wp:effectExtent l="0" t="0" r="0" b="0"/>
              <wp:wrapNone/>
              <wp:docPr id="4" name="PowerPlusWaterMarkObject79770656"/>
              <wp:cNvGraphicFramePr/>
              <a:graphic xmlns:a="http://schemas.openxmlformats.org/drawingml/2006/main">
                <a:graphicData uri="http://schemas.microsoft.com/office/word/2010/wordprocessingShape">
                  <wps:wsp>
                    <wps:cNvSpPr/>
                    <wps:spPr>
                      <a:xfrm>
                        <a:off x="0" y="0"/>
                        <a:ext cx="585360" cy="5821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PowerPlusWaterMarkObject79770656" o:spid="shape_0" path="m0,0l-2147483645,0l-2147483645,-2147483646l0,-2147483646xe" stroked="f" o:allowincell="f" style="position:absolute;margin-left:221.45pt;margin-top:332.95pt;width:46.05pt;height:49.35pt;mso-wrap-style:none;v-text-anchor:middle;mso-position-horizontal:center;mso-position-horizontal-relative:margin;mso-position-vertical:center;mso-position-vertical-relative:margin">
              <v:fill o:detectmouseclick="t" on="false"/>
              <v:stroke color="#3465a4" joinstyle="round" endcap="flat"/>
              <w10:wrap type="non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4428" w14:textId="77777777" w:rsidR="00C87690" w:rsidRDefault="00CF5E28">
    <w:pPr>
      <w:pStyle w:val="Header"/>
      <w:jc w:val="right"/>
    </w:pPr>
    <w:r>
      <w:rPr>
        <w:noProof/>
      </w:rPr>
      <mc:AlternateContent>
        <mc:Choice Requires="wps">
          <w:drawing>
            <wp:anchor distT="0" distB="0" distL="0" distR="0" simplePos="0" relativeHeight="7" behindDoc="1" locked="0" layoutInCell="0" allowOverlap="1" wp14:anchorId="178E9A4D" wp14:editId="54C24B78">
              <wp:simplePos x="0" y="0"/>
              <wp:positionH relativeFrom="margin">
                <wp:align>center</wp:align>
              </wp:positionH>
              <wp:positionV relativeFrom="margin">
                <wp:align>center</wp:align>
              </wp:positionV>
              <wp:extent cx="586105" cy="582930"/>
              <wp:effectExtent l="0" t="0" r="0" b="0"/>
              <wp:wrapNone/>
              <wp:docPr id="23" name="PowerPlusWaterMarkObject79770658_0"/>
              <wp:cNvGraphicFramePr/>
              <a:graphic xmlns:a="http://schemas.openxmlformats.org/drawingml/2006/main">
                <a:graphicData uri="http://schemas.microsoft.com/office/word/2010/wordprocessingShape">
                  <wps:wsp>
                    <wps:cNvSpPr/>
                    <wps:spPr>
                      <a:xfrm>
                        <a:off x="0" y="0"/>
                        <a:ext cx="585360" cy="58212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PowerPlusWaterMarkObject79770658_0" o:spid="shape_0" path="m0,0l-2147483645,0l-2147483645,-2147483646l0,-2147483646xe" stroked="f" o:allowincell="f" style="position:absolute;margin-left:217.9pt;margin-top:341.3pt;width:46.05pt;height:49.35pt;mso-wrap-style:none;v-text-anchor:middle;mso-position-horizontal:center;mso-position-horizontal-relative:margin;mso-position-vertical:center;mso-position-vertical-relative:margin">
              <v:fill o:detectmouseclick="t" on="false"/>
              <v:stroke color="#3465a4" joinstyle="round" endcap="flat"/>
              <w10:wrap type="none"/>
            </v:rect>
          </w:pict>
        </mc:Fallback>
      </mc:AlternateContent>
    </w:r>
    <w:r>
      <w:rPr>
        <w:noProof/>
      </w:rPr>
      <w:drawing>
        <wp:anchor distT="0" distB="0" distL="114300" distR="114300" simplePos="0" relativeHeight="13" behindDoc="0" locked="0" layoutInCell="0" allowOverlap="1" wp14:anchorId="3CD63015" wp14:editId="7FFF6845">
          <wp:simplePos x="0" y="0"/>
          <wp:positionH relativeFrom="column">
            <wp:posOffset>5447030</wp:posOffset>
          </wp:positionH>
          <wp:positionV relativeFrom="paragraph">
            <wp:posOffset>-427990</wp:posOffset>
          </wp:positionV>
          <wp:extent cx="574675" cy="560070"/>
          <wp:effectExtent l="0" t="0" r="0" b="0"/>
          <wp:wrapSquare wrapText="bothSides"/>
          <wp:docPr id="2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
                  <pic:cNvPicPr>
                    <a:picLocks noChangeAspect="1" noChangeArrowheads="1"/>
                  </pic:cNvPicPr>
                </pic:nvPicPr>
                <pic:blipFill>
                  <a:blip r:embed="rId1"/>
                  <a:stretch>
                    <a:fillRect/>
                  </a:stretch>
                </pic:blipFill>
                <pic:spPr bwMode="auto">
                  <a:xfrm>
                    <a:off x="0" y="0"/>
                    <a:ext cx="574675" cy="560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7CF8"/>
    <w:multiLevelType w:val="multilevel"/>
    <w:tmpl w:val="F254115E"/>
    <w:lvl w:ilvl="0">
      <w:start w:val="1"/>
      <w:numFmt w:val="decimal"/>
      <w:pStyle w:val="equation"/>
      <w:lvlText w:val="(equation %1)"/>
      <w:lvlJc w:val="right"/>
      <w:pPr>
        <w:tabs>
          <w:tab w:val="num" w:pos="0"/>
        </w:tabs>
        <w:ind w:left="8180" w:hanging="360"/>
      </w:pPr>
      <w:rPr>
        <w:rFonts w:ascii="Calibri" w:hAnsi="Calibri" w:cs="Times New Roman"/>
        <w:b w:val="0"/>
        <w:bCs w:val="0"/>
        <w:i w:val="0"/>
        <w:iCs w:val="0"/>
        <w:caps w:val="0"/>
        <w:smallCaps w:val="0"/>
        <w:strike w:val="0"/>
        <w:dstrike w:val="0"/>
        <w:vanish w:val="0"/>
        <w:color w:val="000000"/>
        <w:spacing w:val="0"/>
        <w:kern w:val="0"/>
        <w:position w:val="0"/>
        <w:sz w:val="20"/>
        <w:u w:val="none"/>
        <w:vertAlign w:val="baseline"/>
        <w:em w:val="none"/>
      </w:rPr>
    </w:lvl>
    <w:lvl w:ilvl="1">
      <w:start w:val="1"/>
      <w:numFmt w:val="lowerLetter"/>
      <w:lvlText w:val="%2."/>
      <w:lvlJc w:val="left"/>
      <w:pPr>
        <w:tabs>
          <w:tab w:val="num" w:pos="0"/>
        </w:tabs>
        <w:ind w:left="8900" w:hanging="360"/>
      </w:pPr>
    </w:lvl>
    <w:lvl w:ilvl="2">
      <w:start w:val="1"/>
      <w:numFmt w:val="lowerRoman"/>
      <w:lvlText w:val="%3."/>
      <w:lvlJc w:val="right"/>
      <w:pPr>
        <w:tabs>
          <w:tab w:val="num" w:pos="0"/>
        </w:tabs>
        <w:ind w:left="9620" w:hanging="180"/>
      </w:pPr>
    </w:lvl>
    <w:lvl w:ilvl="3">
      <w:start w:val="1"/>
      <w:numFmt w:val="decimal"/>
      <w:lvlText w:val="%4."/>
      <w:lvlJc w:val="left"/>
      <w:pPr>
        <w:tabs>
          <w:tab w:val="num" w:pos="0"/>
        </w:tabs>
        <w:ind w:left="10340" w:hanging="360"/>
      </w:pPr>
    </w:lvl>
    <w:lvl w:ilvl="4">
      <w:start w:val="1"/>
      <w:numFmt w:val="lowerLetter"/>
      <w:lvlText w:val="%5."/>
      <w:lvlJc w:val="left"/>
      <w:pPr>
        <w:tabs>
          <w:tab w:val="num" w:pos="0"/>
        </w:tabs>
        <w:ind w:left="11060" w:hanging="360"/>
      </w:pPr>
    </w:lvl>
    <w:lvl w:ilvl="5">
      <w:start w:val="1"/>
      <w:numFmt w:val="lowerRoman"/>
      <w:lvlText w:val="%6."/>
      <w:lvlJc w:val="right"/>
      <w:pPr>
        <w:tabs>
          <w:tab w:val="num" w:pos="0"/>
        </w:tabs>
        <w:ind w:left="11780" w:hanging="180"/>
      </w:pPr>
    </w:lvl>
    <w:lvl w:ilvl="6">
      <w:start w:val="1"/>
      <w:numFmt w:val="decimal"/>
      <w:lvlText w:val="%7."/>
      <w:lvlJc w:val="left"/>
      <w:pPr>
        <w:tabs>
          <w:tab w:val="num" w:pos="0"/>
        </w:tabs>
        <w:ind w:left="12500" w:hanging="360"/>
      </w:pPr>
    </w:lvl>
    <w:lvl w:ilvl="7">
      <w:start w:val="1"/>
      <w:numFmt w:val="lowerLetter"/>
      <w:lvlText w:val="%8."/>
      <w:lvlJc w:val="left"/>
      <w:pPr>
        <w:tabs>
          <w:tab w:val="num" w:pos="0"/>
        </w:tabs>
        <w:ind w:left="13220" w:hanging="360"/>
      </w:pPr>
    </w:lvl>
    <w:lvl w:ilvl="8">
      <w:start w:val="1"/>
      <w:numFmt w:val="lowerRoman"/>
      <w:lvlText w:val="%9."/>
      <w:lvlJc w:val="right"/>
      <w:pPr>
        <w:tabs>
          <w:tab w:val="num" w:pos="0"/>
        </w:tabs>
        <w:ind w:left="13940" w:hanging="180"/>
      </w:pPr>
    </w:lvl>
  </w:abstractNum>
  <w:abstractNum w:abstractNumId="1" w15:restartNumberingAfterBreak="0">
    <w:nsid w:val="24004EBB"/>
    <w:multiLevelType w:val="multilevel"/>
    <w:tmpl w:val="684EEA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6EA5AEF"/>
    <w:multiLevelType w:val="multilevel"/>
    <w:tmpl w:val="A0729F2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992"/>
        </w:tabs>
        <w:ind w:left="992" w:hanging="992"/>
      </w:pPr>
    </w:lvl>
    <w:lvl w:ilvl="3">
      <w:start w:val="1"/>
      <w:numFmt w:val="decimal"/>
      <w:pStyle w:val="Heading4"/>
      <w:lvlText w:val="%1.%2.%3.%4"/>
      <w:lvlJc w:val="left"/>
      <w:pPr>
        <w:tabs>
          <w:tab w:val="num" w:pos="1134"/>
        </w:tabs>
        <w:ind w:left="1134" w:hanging="113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39095D33"/>
    <w:multiLevelType w:val="multilevel"/>
    <w:tmpl w:val="65FABEA6"/>
    <w:lvl w:ilvl="0">
      <w:start w:val="1"/>
      <w:numFmt w:val="decimal"/>
      <w:pStyle w:val="References"/>
      <w:lvlText w:val="[%1]"/>
      <w:lvlJc w:val="left"/>
      <w:pPr>
        <w:tabs>
          <w:tab w:val="num" w:pos="567"/>
        </w:tabs>
        <w:ind w:left="567" w:hanging="567"/>
      </w:pPr>
      <w:rPr>
        <w:rFonts w:ascii="Calibri" w:hAnsi="Calibri"/>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BE04EC2"/>
    <w:multiLevelType w:val="multilevel"/>
    <w:tmpl w:val="3F7E4A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E4237D3"/>
    <w:multiLevelType w:val="multilevel"/>
    <w:tmpl w:val="B7B8B7A2"/>
    <w:lvl w:ilvl="0">
      <w:start w:val="1"/>
      <w:numFmt w:val="decimal"/>
      <w:pStyle w:val="Table"/>
      <w:lvlText w:val="Table %1"/>
      <w:lvlJc w:val="left"/>
      <w:pPr>
        <w:tabs>
          <w:tab w:val="num" w:pos="1134"/>
        </w:tabs>
        <w:ind w:left="1134" w:hanging="113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54778B"/>
    <w:multiLevelType w:val="multilevel"/>
    <w:tmpl w:val="CC14B050"/>
    <w:lvl w:ilvl="0">
      <w:start w:val="1"/>
      <w:numFmt w:val="bullet"/>
      <w:pStyle w:val="Bullet3"/>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89F510E"/>
    <w:multiLevelType w:val="multilevel"/>
    <w:tmpl w:val="9D7ABEBA"/>
    <w:lvl w:ilvl="0">
      <w:start w:val="1"/>
      <w:numFmt w:val="decimal"/>
      <w:pStyle w:val="AppendixHeading1"/>
      <w:lvlText w:val="%1"/>
      <w:lvlJc w:val="left"/>
      <w:pPr>
        <w:tabs>
          <w:tab w:val="num" w:pos="567"/>
        </w:tabs>
        <w:ind w:left="567" w:hanging="567"/>
      </w:pPr>
      <w:rPr>
        <w:rFonts w:ascii="Arial" w:hAnsi="Arial"/>
        <w:b/>
        <w:i w:val="0"/>
        <w:sz w:val="24"/>
      </w:rPr>
    </w:lvl>
    <w:lvl w:ilvl="1">
      <w:start w:val="1"/>
      <w:numFmt w:val="decimal"/>
      <w:lvlText w:val="%1.%2"/>
      <w:lvlJc w:val="left"/>
      <w:pPr>
        <w:tabs>
          <w:tab w:val="num" w:pos="851"/>
        </w:tabs>
        <w:ind w:left="851" w:hanging="851"/>
      </w:pPr>
      <w:rPr>
        <w:rFonts w:ascii="Arial" w:hAnsi="Arial"/>
        <w:b/>
        <w:i w:val="0"/>
        <w:sz w:val="22"/>
      </w:rPr>
    </w:lvl>
    <w:lvl w:ilvl="2">
      <w:start w:val="1"/>
      <w:numFmt w:val="decimal"/>
      <w:lvlText w:val="%1.%2.%3"/>
      <w:lvlJc w:val="left"/>
      <w:pPr>
        <w:tabs>
          <w:tab w:val="num" w:pos="992"/>
        </w:tabs>
        <w:ind w:left="992" w:hanging="992"/>
      </w:pPr>
      <w:rPr>
        <w:rFonts w:ascii="Arial" w:hAnsi="Arial"/>
        <w:b w:val="0"/>
        <w:i w:val="0"/>
        <w:sz w:val="22"/>
      </w:rPr>
    </w:lvl>
    <w:lvl w:ilvl="3">
      <w:start w:val="1"/>
      <w:numFmt w:val="decimal"/>
      <w:lvlText w:val="%1.%2.%3.%4"/>
      <w:lvlJc w:val="left"/>
      <w:pPr>
        <w:tabs>
          <w:tab w:val="num" w:pos="1134"/>
        </w:tabs>
        <w:ind w:left="1134" w:hanging="1134"/>
      </w:pPr>
      <w:rPr>
        <w:rFonts w:ascii="Arial" w:hAnsi="Arial"/>
        <w:b w:val="0"/>
        <w:i w:val="0"/>
        <w:sz w:val="22"/>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B0671E2"/>
    <w:multiLevelType w:val="multilevel"/>
    <w:tmpl w:val="89202AB8"/>
    <w:lvl w:ilvl="0">
      <w:start w:val="1"/>
      <w:numFmt w:val="decimal"/>
      <w:pStyle w:val="AnnexTable"/>
      <w:lvlText w:val="Table %1"/>
      <w:lvlJc w:val="left"/>
      <w:pPr>
        <w:tabs>
          <w:tab w:val="num" w:pos="1134"/>
        </w:tabs>
        <w:ind w:left="1134" w:hanging="1134"/>
      </w:pPr>
      <w:rPr>
        <w:rFonts w:ascii="Arial" w:hAnsi="Arial"/>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FDD20A4"/>
    <w:multiLevelType w:val="multilevel"/>
    <w:tmpl w:val="D3C6ED76"/>
    <w:lvl w:ilvl="0">
      <w:start w:val="1"/>
      <w:numFmt w:val="bullet"/>
      <w:pStyle w:val="Bullet2"/>
      <w:lvlText w:val="-"/>
      <w:lvlJc w:val="left"/>
      <w:pPr>
        <w:tabs>
          <w:tab w:val="num" w:pos="0"/>
        </w:tabs>
        <w:ind w:left="2421" w:hanging="360"/>
      </w:pPr>
      <w:rPr>
        <w:rFonts w:ascii="Arial" w:hAnsi="Arial" w:cs="Arial" w:hint="default"/>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10" w15:restartNumberingAfterBreak="0">
    <w:nsid w:val="58003C3E"/>
    <w:multiLevelType w:val="multilevel"/>
    <w:tmpl w:val="A816BF22"/>
    <w:lvl w:ilvl="0">
      <w:start w:val="1"/>
      <w:numFmt w:val="decimal"/>
      <w:pStyle w:val="Figure"/>
      <w:lvlText w:val="Figure %1"/>
      <w:lvlJc w:val="left"/>
      <w:pPr>
        <w:tabs>
          <w:tab w:val="num" w:pos="1134"/>
        </w:tabs>
        <w:ind w:left="1134" w:hanging="1134"/>
      </w:pPr>
      <w:rPr>
        <w:rFonts w:ascii="Calibri" w:hAnsi="Calibri"/>
        <w:b w:val="0"/>
        <w:i/>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E577CC4"/>
    <w:multiLevelType w:val="multilevel"/>
    <w:tmpl w:val="9984E930"/>
    <w:lvl w:ilvl="0">
      <w:start w:val="1"/>
      <w:numFmt w:val="decimal"/>
      <w:pStyle w:val="Aufzhlungszeichen31"/>
      <w:lvlText w:val="%1"/>
      <w:lvlJc w:val="left"/>
      <w:pPr>
        <w:tabs>
          <w:tab w:val="num" w:pos="567"/>
        </w:tabs>
        <w:ind w:left="567" w:hanging="567"/>
      </w:pPr>
      <w:rPr>
        <w:rFonts w:ascii="Calibri" w:hAnsi="Calibri"/>
        <w:b w:val="0"/>
        <w:i w:val="0"/>
        <w:sz w:val="22"/>
        <w:szCs w:val="22"/>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3335C4B"/>
    <w:multiLevelType w:val="multilevel"/>
    <w:tmpl w:val="0A5A8B30"/>
    <w:lvl w:ilvl="0">
      <w:start w:val="1"/>
      <w:numFmt w:val="decimal"/>
      <w:pStyle w:val="Gruformel1"/>
      <w:lvlText w:val="APPENDIX %1"/>
      <w:lvlJc w:val="left"/>
      <w:pPr>
        <w:tabs>
          <w:tab w:val="num" w:pos="0"/>
        </w:tabs>
        <w:ind w:left="1701" w:hanging="1701"/>
      </w:pPr>
      <w:rPr>
        <w:rFonts w:ascii="Calibri" w:hAnsi="Calibri" w:cs="Times New Roman"/>
        <w:b/>
        <w:bCs/>
        <w:i w:val="0"/>
        <w:iCs w:val="0"/>
        <w:caps/>
        <w:strike w:val="0"/>
        <w:dstrike w:val="0"/>
        <w:vanish w:val="0"/>
        <w:color w:val="4F81BD"/>
        <w:spacing w:val="0"/>
        <w:w w:val="100"/>
        <w:kern w:val="0"/>
        <w:position w:val="0"/>
        <w:sz w:val="24"/>
        <w:szCs w:val="24"/>
        <w:u w:val="none"/>
        <w:effect w:val="none"/>
        <w:vertAlign w:val="baseline"/>
        <w:em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72257A3"/>
    <w:multiLevelType w:val="multilevel"/>
    <w:tmpl w:val="BC80EE06"/>
    <w:lvl w:ilvl="0">
      <w:start w:val="1"/>
      <w:numFmt w:val="decimal"/>
      <w:pStyle w:val="AnnexHeading1"/>
      <w:lvlText w:val="%1"/>
      <w:lvlJc w:val="left"/>
      <w:pPr>
        <w:tabs>
          <w:tab w:val="num" w:pos="567"/>
        </w:tabs>
        <w:ind w:left="567" w:hanging="567"/>
      </w:pPr>
      <w:rPr>
        <w:rFonts w:ascii="Calibri" w:hAnsi="Calibri"/>
        <w:b/>
        <w:i w:val="0"/>
        <w:sz w:val="24"/>
      </w:rPr>
    </w:lvl>
    <w:lvl w:ilvl="1">
      <w:start w:val="1"/>
      <w:numFmt w:val="decimal"/>
      <w:lvlText w:val="%1.%2"/>
      <w:lvlJc w:val="left"/>
      <w:pPr>
        <w:tabs>
          <w:tab w:val="num" w:pos="851"/>
        </w:tabs>
        <w:ind w:left="851" w:hanging="851"/>
      </w:pPr>
      <w:rPr>
        <w:rFonts w:ascii="Arial Bold" w:hAnsi="Arial Bold"/>
        <w:b/>
        <w:i w:val="0"/>
        <w:sz w:val="22"/>
      </w:rPr>
    </w:lvl>
    <w:lvl w:ilvl="2">
      <w:start w:val="1"/>
      <w:numFmt w:val="decimal"/>
      <w:lvlText w:val="%2.%3.%1"/>
      <w:lvlJc w:val="left"/>
      <w:pPr>
        <w:tabs>
          <w:tab w:val="num" w:pos="992"/>
        </w:tabs>
        <w:ind w:left="992" w:hanging="992"/>
      </w:pPr>
      <w:rPr>
        <w:rFonts w:ascii="Arial" w:hAnsi="Arial"/>
        <w:b w:val="0"/>
        <w:i w:val="0"/>
        <w:sz w:val="22"/>
      </w:rPr>
    </w:lvl>
    <w:lvl w:ilvl="3">
      <w:start w:val="1"/>
      <w:numFmt w:val="decimal"/>
      <w:lvlText w:val="%1.%2.%3.%4"/>
      <w:lvlJc w:val="left"/>
      <w:pPr>
        <w:tabs>
          <w:tab w:val="num" w:pos="1134"/>
        </w:tabs>
        <w:ind w:left="1134" w:hanging="1134"/>
      </w:pPr>
      <w:rPr>
        <w:rFonts w:ascii="Arial" w:hAnsi="Arial"/>
        <w:b w:val="0"/>
        <w:i w:val="0"/>
        <w:sz w:val="22"/>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729D397A"/>
    <w:multiLevelType w:val="multilevel"/>
    <w:tmpl w:val="57164808"/>
    <w:lvl w:ilvl="0">
      <w:start w:val="1"/>
      <w:numFmt w:val="decimal"/>
      <w:pStyle w:val="AnnexFigure"/>
      <w:lvlText w:val="Figure %1"/>
      <w:lvlJc w:val="left"/>
      <w:pPr>
        <w:tabs>
          <w:tab w:val="num" w:pos="1701"/>
        </w:tabs>
        <w:ind w:left="1701" w:hanging="1701"/>
      </w:pPr>
      <w:rPr>
        <w:rFonts w:ascii="Arial" w:hAnsi="Arial"/>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36740220">
    <w:abstractNumId w:val="2"/>
  </w:num>
  <w:num w:numId="2" w16cid:durableId="862283717">
    <w:abstractNumId w:val="14"/>
  </w:num>
  <w:num w:numId="3" w16cid:durableId="878929690">
    <w:abstractNumId w:val="13"/>
  </w:num>
  <w:num w:numId="4" w16cid:durableId="416634145">
    <w:abstractNumId w:val="8"/>
  </w:num>
  <w:num w:numId="5" w16cid:durableId="561143158">
    <w:abstractNumId w:val="7"/>
  </w:num>
  <w:num w:numId="6" w16cid:durableId="1061908689">
    <w:abstractNumId w:val="9"/>
  </w:num>
  <w:num w:numId="7" w16cid:durableId="268509980">
    <w:abstractNumId w:val="10"/>
  </w:num>
  <w:num w:numId="8" w16cid:durableId="2010983984">
    <w:abstractNumId w:val="3"/>
  </w:num>
  <w:num w:numId="9" w16cid:durableId="1921712167">
    <w:abstractNumId w:val="5"/>
  </w:num>
  <w:num w:numId="10" w16cid:durableId="1124621708">
    <w:abstractNumId w:val="11"/>
  </w:num>
  <w:num w:numId="11" w16cid:durableId="513344146">
    <w:abstractNumId w:val="0"/>
  </w:num>
  <w:num w:numId="12" w16cid:durableId="1660229685">
    <w:abstractNumId w:val="6"/>
  </w:num>
  <w:num w:numId="13" w16cid:durableId="409544834">
    <w:abstractNumId w:val="12"/>
  </w:num>
  <w:num w:numId="14" w16cid:durableId="1567960385">
    <w:abstractNumId w:val="1"/>
  </w:num>
  <w:num w:numId="15" w16cid:durableId="892540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90"/>
    <w:rsid w:val="007D3CBF"/>
    <w:rsid w:val="00B539D0"/>
    <w:rsid w:val="00C87690"/>
    <w:rsid w:val="00CF5E2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FB75"/>
  <w15:docId w15:val="{1F0C66E8-F752-42EF-B719-87530212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Calibri"/>
      <w:sz w:val="22"/>
      <w:szCs w:val="22"/>
    </w:rPr>
  </w:style>
  <w:style w:type="paragraph" w:styleId="Heading1">
    <w:name w:val="heading 1"/>
    <w:basedOn w:val="Normal"/>
    <w:next w:val="BodyText"/>
    <w:uiPriority w:val="9"/>
    <w:qFormat/>
    <w:pPr>
      <w:keepNext/>
      <w:numPr>
        <w:numId w:val="1"/>
      </w:numPr>
      <w:spacing w:before="240" w:after="240"/>
      <w:outlineLvl w:val="0"/>
    </w:pPr>
    <w:rPr>
      <w:rFonts w:ascii="Calibri" w:hAnsi="Calibri"/>
      <w:b/>
      <w:caps/>
      <w:color w:val="0070C0"/>
      <w:kern w:val="2"/>
      <w:sz w:val="24"/>
      <w:lang w:eastAsia="de-DE"/>
    </w:rPr>
  </w:style>
  <w:style w:type="paragraph" w:styleId="Heading2">
    <w:name w:val="heading 2"/>
    <w:basedOn w:val="Normal"/>
    <w:next w:val="BodyText"/>
    <w:uiPriority w:val="9"/>
    <w:semiHidden/>
    <w:unhideWhenUsed/>
    <w:qFormat/>
    <w:pPr>
      <w:numPr>
        <w:ilvl w:val="1"/>
        <w:numId w:val="1"/>
      </w:numPr>
      <w:spacing w:before="120" w:after="120"/>
      <w:outlineLvl w:val="1"/>
    </w:pPr>
    <w:rPr>
      <w:rFonts w:ascii="Calibri" w:hAnsi="Calibri"/>
      <w:b/>
      <w:color w:val="0070C0"/>
      <w:sz w:val="24"/>
      <w:szCs w:val="24"/>
    </w:rPr>
  </w:style>
  <w:style w:type="paragraph" w:styleId="Heading3">
    <w:name w:val="heading 3"/>
    <w:basedOn w:val="Normal"/>
    <w:next w:val="BodyText"/>
    <w:uiPriority w:val="9"/>
    <w:semiHidden/>
    <w:unhideWhenUsed/>
    <w:qFormat/>
    <w:pPr>
      <w:keepNext/>
      <w:numPr>
        <w:ilvl w:val="2"/>
        <w:numId w:val="1"/>
      </w:numPr>
      <w:spacing w:before="120" w:after="120"/>
      <w:outlineLvl w:val="2"/>
    </w:pPr>
    <w:rPr>
      <w:szCs w:val="20"/>
      <w:lang w:eastAsia="de-DE"/>
    </w:rPr>
  </w:style>
  <w:style w:type="paragraph" w:styleId="Heading4">
    <w:name w:val="heading 4"/>
    <w:basedOn w:val="Normal"/>
    <w:next w:val="BodyTextIndent"/>
    <w:uiPriority w:val="9"/>
    <w:semiHidden/>
    <w:unhideWhenUsed/>
    <w:qFormat/>
    <w:pPr>
      <w:keepNext/>
      <w:numPr>
        <w:ilvl w:val="3"/>
        <w:numId w:val="1"/>
      </w:numPr>
      <w:spacing w:before="120" w:after="120"/>
      <w:outlineLvl w:val="3"/>
    </w:pPr>
    <w:rPr>
      <w:szCs w:val="20"/>
      <w:lang w:val="en-US" w:eastAsia="de-DE"/>
    </w:rPr>
  </w:style>
  <w:style w:type="paragraph" w:styleId="Heading5">
    <w:name w:val="heading 5"/>
    <w:basedOn w:val="Normal"/>
    <w:next w:val="Normal"/>
    <w:uiPriority w:val="9"/>
    <w:semiHidden/>
    <w:unhideWhenUsed/>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uiPriority w:val="9"/>
    <w:semiHidden/>
    <w:unhideWhenUsed/>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qFormat/>
    <w:rPr>
      <w:rFonts w:cs="Calibri"/>
      <w:b/>
      <w:caps/>
      <w:color w:val="0070C0"/>
      <w:kern w:val="2"/>
      <w:sz w:val="24"/>
      <w:szCs w:val="22"/>
      <w:lang w:eastAsia="de-DE"/>
    </w:rPr>
  </w:style>
  <w:style w:type="character" w:customStyle="1" w:styleId="berschrift2Zchn">
    <w:name w:val="Überschrift 2 Zchn"/>
    <w:qFormat/>
    <w:rPr>
      <w:rFonts w:cs="Calibri"/>
      <w:b/>
      <w:color w:val="0070C0"/>
      <w:sz w:val="24"/>
      <w:szCs w:val="24"/>
    </w:rPr>
  </w:style>
  <w:style w:type="character" w:customStyle="1" w:styleId="TextkrperZchn">
    <w:name w:val="Textkörper Zchn"/>
    <w:qFormat/>
    <w:rPr>
      <w:rFonts w:ascii="Arial" w:hAnsi="Arial" w:cs="Times New Roman"/>
      <w:szCs w:val="24"/>
    </w:rPr>
  </w:style>
  <w:style w:type="character" w:customStyle="1" w:styleId="FuzeileZchn">
    <w:name w:val="Fußzeile Zchn"/>
    <w:qFormat/>
    <w:rPr>
      <w:rFonts w:ascii="Arial" w:hAnsi="Arial" w:cs="Times New Roman"/>
      <w:szCs w:val="24"/>
    </w:rPr>
  </w:style>
  <w:style w:type="character" w:customStyle="1" w:styleId="KopfzeileZchn">
    <w:name w:val="Kopfzeile Zchn"/>
    <w:qFormat/>
    <w:rPr>
      <w:rFonts w:ascii="Arial" w:eastAsia="Calibri" w:hAnsi="Arial" w:cs="Times New Roman"/>
      <w:szCs w:val="24"/>
      <w:lang w:eastAsia="en-GB"/>
    </w:rPr>
  </w:style>
  <w:style w:type="character" w:customStyle="1" w:styleId="berschrift3Zchn">
    <w:name w:val="Überschrift 3 Zchn"/>
    <w:qFormat/>
    <w:rPr>
      <w:rFonts w:ascii="Arial" w:hAnsi="Arial" w:cs="Calibri"/>
      <w:szCs w:val="20"/>
      <w:lang w:eastAsia="de-DE"/>
    </w:rPr>
  </w:style>
  <w:style w:type="character" w:customStyle="1" w:styleId="berschrift4Zchn">
    <w:name w:val="Überschrift 4 Zchn"/>
    <w:qFormat/>
    <w:rPr>
      <w:rFonts w:ascii="Arial" w:hAnsi="Arial" w:cs="Calibri"/>
      <w:szCs w:val="20"/>
      <w:lang w:val="en-US" w:eastAsia="de-DE"/>
    </w:rPr>
  </w:style>
  <w:style w:type="character" w:customStyle="1" w:styleId="berschrift5Zchn">
    <w:name w:val="Überschrift 5 Zchn"/>
    <w:qFormat/>
    <w:rPr>
      <w:rFonts w:ascii="Arial" w:eastAsia="Times New Roman" w:hAnsi="Arial" w:cs="Times New Roman"/>
      <w:szCs w:val="20"/>
      <w:lang w:val="de-DE" w:eastAsia="de-DE"/>
    </w:rPr>
  </w:style>
  <w:style w:type="character" w:customStyle="1" w:styleId="berschrift6Zchn">
    <w:name w:val="Überschrift 6 Zchn"/>
    <w:qFormat/>
    <w:rPr>
      <w:rFonts w:ascii="Arial" w:hAnsi="Arial" w:cs="Calibri"/>
      <w:szCs w:val="20"/>
      <w:lang w:val="de-DE" w:eastAsia="de-DE"/>
    </w:rPr>
  </w:style>
  <w:style w:type="character" w:customStyle="1" w:styleId="berschrift7Zchn">
    <w:name w:val="Überschrift 7 Zchn"/>
    <w:qFormat/>
    <w:rPr>
      <w:rFonts w:ascii="Arial" w:hAnsi="Arial" w:cs="Calibri"/>
      <w:szCs w:val="20"/>
      <w:lang w:val="de-DE" w:eastAsia="de-DE"/>
    </w:rPr>
  </w:style>
  <w:style w:type="character" w:customStyle="1" w:styleId="berschrift8Zchn">
    <w:name w:val="Überschrift 8 Zchn"/>
    <w:qFormat/>
    <w:rPr>
      <w:rFonts w:ascii="Arial" w:hAnsi="Arial" w:cs="Calibri"/>
      <w:szCs w:val="20"/>
      <w:lang w:val="de-DE" w:eastAsia="de-DE"/>
    </w:rPr>
  </w:style>
  <w:style w:type="character" w:customStyle="1" w:styleId="berschrift9Zchn">
    <w:name w:val="Überschrift 9 Zchn"/>
    <w:qFormat/>
    <w:rPr>
      <w:rFonts w:ascii="Arial" w:hAnsi="Arial" w:cs="Calibri"/>
      <w:szCs w:val="20"/>
      <w:lang w:val="de-DE" w:eastAsia="de-DE"/>
    </w:rPr>
  </w:style>
  <w:style w:type="character" w:styleId="Hyperlink">
    <w:name w:val="Hyperlink"/>
    <w:rPr>
      <w:strike w:val="0"/>
      <w:dstrike w:val="0"/>
      <w:position w:val="0"/>
      <w:sz w:val="20"/>
      <w:vertAlign w:val="baseline"/>
    </w:rPr>
  </w:style>
  <w:style w:type="character" w:styleId="PageNumber">
    <w:name w:val="page number"/>
    <w:basedOn w:val="DefaultParagraphFont"/>
    <w:qFormat/>
  </w:style>
  <w:style w:type="character" w:customStyle="1" w:styleId="Textkrper-ZeileneinzugZchn">
    <w:name w:val="Textkörper-Zeileneinzug Zchn"/>
    <w:qFormat/>
    <w:rPr>
      <w:rFonts w:ascii="Arial" w:hAnsi="Arial" w:cs="Times New Roman"/>
      <w:szCs w:val="24"/>
    </w:rPr>
  </w:style>
  <w:style w:type="character" w:customStyle="1" w:styleId="Textkrper-Einzug2Zchn">
    <w:name w:val="Textkörper-Einzug 2 Zchn"/>
    <w:qFormat/>
    <w:rPr>
      <w:rFonts w:ascii="Arial" w:hAnsi="Arial" w:cs="Times New Roman"/>
      <w:szCs w:val="24"/>
      <w:lang w:eastAsia="de-DE"/>
    </w:rPr>
  </w:style>
  <w:style w:type="character" w:customStyle="1" w:styleId="FootnoteCharacters">
    <w:name w:val="Footnote Characters"/>
    <w:qFormat/>
    <w:rPr>
      <w:rFonts w:ascii="Arial" w:hAnsi="Arial"/>
      <w:sz w:val="16"/>
    </w:rPr>
  </w:style>
  <w:style w:type="character" w:customStyle="1" w:styleId="FootnoteAnchor">
    <w:name w:val="Footnote Anchor"/>
    <w:rPr>
      <w:rFonts w:ascii="Arial" w:hAnsi="Arial"/>
      <w:sz w:val="16"/>
      <w:vertAlign w:val="superscript"/>
    </w:rPr>
  </w:style>
  <w:style w:type="character" w:customStyle="1" w:styleId="FunotentextZchn">
    <w:name w:val="Fußnotentext Zchn"/>
    <w:qFormat/>
    <w:rPr>
      <w:rFonts w:ascii="Arial" w:hAnsi="Arial" w:cs="Times New Roman"/>
      <w:sz w:val="20"/>
      <w:szCs w:val="20"/>
    </w:rPr>
  </w:style>
  <w:style w:type="character" w:customStyle="1" w:styleId="UntertitelZchn">
    <w:name w:val="Untertitel Zchn"/>
    <w:qFormat/>
    <w:rPr>
      <w:rFonts w:ascii="Arial" w:hAnsi="Arial" w:cs="Arial"/>
      <w:szCs w:val="24"/>
    </w:rPr>
  </w:style>
  <w:style w:type="character" w:customStyle="1" w:styleId="TitelZchn">
    <w:name w:val="Titel Zchn"/>
    <w:qFormat/>
    <w:rPr>
      <w:rFonts w:ascii="Arial" w:hAnsi="Arial" w:cs="Arial"/>
      <w:b/>
      <w:bCs/>
      <w:kern w:val="2"/>
      <w:sz w:val="32"/>
      <w:szCs w:val="32"/>
    </w:rPr>
  </w:style>
  <w:style w:type="character" w:customStyle="1" w:styleId="SprechblasentextZchn">
    <w:name w:val="Sprechblasentext Zchn"/>
    <w:basedOn w:val="DefaultParagraphFont"/>
    <w:qFormat/>
    <w:rPr>
      <w:rFonts w:ascii="Tahoma" w:hAnsi="Tahoma" w:cs="Tahoma"/>
      <w:sz w:val="16"/>
      <w:szCs w:val="16"/>
    </w:rPr>
  </w:style>
  <w:style w:type="character" w:styleId="CommentReference">
    <w:name w:val="annotation reference"/>
    <w:basedOn w:val="DefaultParagraphFont"/>
    <w:qFormat/>
    <w:rPr>
      <w:sz w:val="16"/>
      <w:szCs w:val="16"/>
    </w:rPr>
  </w:style>
  <w:style w:type="character" w:customStyle="1" w:styleId="KommentartextZchn">
    <w:name w:val="Kommentartext Zchn"/>
    <w:basedOn w:val="DefaultParagraphFont"/>
    <w:qFormat/>
    <w:rPr>
      <w:rFonts w:ascii="Arial" w:hAnsi="Arial" w:cs="Calibri"/>
    </w:rPr>
  </w:style>
  <w:style w:type="character" w:customStyle="1" w:styleId="KommentarthemaZchn">
    <w:name w:val="Kommentarthema Zchn"/>
    <w:basedOn w:val="KommentartextZchn"/>
    <w:qFormat/>
    <w:rPr>
      <w:rFonts w:ascii="Arial" w:hAnsi="Arial" w:cs="Calibri"/>
      <w:b/>
      <w:bCs/>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neNumbering">
    <w:name w:val="Line Numbering"/>
  </w:style>
  <w:style w:type="character" w:styleId="FollowedHyperlink">
    <w:name w:val="FollowedHyperlink"/>
    <w:rPr>
      <w:color w:val="800000"/>
      <w:u w:val="single"/>
    </w:rPr>
  </w:style>
  <w:style w:type="character" w:styleId="UnresolvedMention">
    <w:name w:val="Unresolved Mention"/>
    <w:basedOn w:val="DefaultParagraphFont"/>
    <w:uiPriority w:val="99"/>
    <w:semiHidden/>
    <w:unhideWhenUsed/>
    <w:qFormat/>
    <w:rsid w:val="0050055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nnex">
    <w:name w:val="Annex"/>
    <w:basedOn w:val="Heading1"/>
    <w:next w:val="Normal"/>
    <w:qFormat/>
    <w:pPr>
      <w:numPr>
        <w:numId w:val="0"/>
      </w:numPr>
      <w:tabs>
        <w:tab w:val="left" w:pos="1701"/>
      </w:tabs>
      <w:jc w:val="both"/>
      <w:outlineLvl w:val="9"/>
    </w:pPr>
    <w:rPr>
      <w:kern w:val="0"/>
      <w:lang w:eastAsia="en-GB"/>
    </w:rPr>
  </w:style>
  <w:style w:type="paragraph" w:customStyle="1" w:styleId="AnnexFigure">
    <w:name w:val="Annex Figure"/>
    <w:basedOn w:val="Normal"/>
    <w:next w:val="Normal"/>
    <w:qFormat/>
    <w:pPr>
      <w:numPr>
        <w:numId w:val="2"/>
      </w:numPr>
      <w:spacing w:before="120" w:after="120"/>
      <w:jc w:val="center"/>
    </w:pPr>
    <w:rPr>
      <w:i/>
    </w:rPr>
  </w:style>
  <w:style w:type="paragraph" w:customStyle="1" w:styleId="AnnexHeading1">
    <w:name w:val="Annex Heading 1"/>
    <w:basedOn w:val="Normal"/>
    <w:next w:val="BodyText"/>
    <w:qFormat/>
    <w:pPr>
      <w:numPr>
        <w:numId w:val="3"/>
      </w:numPr>
      <w:spacing w:before="120" w:after="120"/>
    </w:pPr>
    <w:rPr>
      <w:rFonts w:cs="Arial"/>
      <w:b/>
      <w:caps/>
      <w:sz w:val="24"/>
    </w:rPr>
  </w:style>
  <w:style w:type="paragraph" w:customStyle="1" w:styleId="AnnexHeading2">
    <w:name w:val="Annex Heading 2"/>
    <w:basedOn w:val="Normal"/>
    <w:next w:val="BodyText"/>
    <w:qFormat/>
    <w:pPr>
      <w:tabs>
        <w:tab w:val="left" w:pos="567"/>
      </w:tabs>
      <w:spacing w:before="120" w:after="120"/>
      <w:ind w:left="567" w:hanging="567"/>
    </w:pPr>
    <w:rPr>
      <w:rFonts w:cs="Arial"/>
      <w:b/>
    </w:rPr>
  </w:style>
  <w:style w:type="paragraph" w:customStyle="1" w:styleId="AnnexHeading3">
    <w:name w:val="Annex Heading 3"/>
    <w:basedOn w:val="Normal"/>
    <w:next w:val="Normal"/>
    <w:qFormat/>
    <w:pPr>
      <w:tabs>
        <w:tab w:val="left" w:pos="567"/>
      </w:tabs>
      <w:spacing w:before="120" w:after="120"/>
      <w:ind w:left="567" w:hanging="567"/>
    </w:pPr>
    <w:rPr>
      <w:rFonts w:cs="Arial"/>
    </w:rPr>
  </w:style>
  <w:style w:type="paragraph" w:customStyle="1" w:styleId="AnnexHeading4">
    <w:name w:val="Annex Heading 4"/>
    <w:basedOn w:val="Normal"/>
    <w:next w:val="BodyText"/>
    <w:qFormat/>
    <w:pPr>
      <w:tabs>
        <w:tab w:val="left" w:pos="567"/>
      </w:tabs>
      <w:spacing w:before="120" w:after="120"/>
      <w:ind w:left="567" w:hanging="567"/>
    </w:pPr>
    <w:rPr>
      <w:rFonts w:cs="Arial"/>
    </w:rPr>
  </w:style>
  <w:style w:type="paragraph" w:customStyle="1" w:styleId="AnnexTable">
    <w:name w:val="Annex Table"/>
    <w:basedOn w:val="Normal"/>
    <w:next w:val="Normal"/>
    <w:qFormat/>
    <w:pPr>
      <w:numPr>
        <w:numId w:val="4"/>
      </w:numPr>
      <w:tabs>
        <w:tab w:val="left" w:pos="1418"/>
      </w:tabs>
      <w:spacing w:before="120" w:after="120"/>
      <w:jc w:val="center"/>
    </w:pPr>
    <w:rPr>
      <w:i/>
    </w:rPr>
  </w:style>
  <w:style w:type="paragraph" w:customStyle="1" w:styleId="Bullet1">
    <w:name w:val="Bullet 1"/>
    <w:basedOn w:val="Normal"/>
    <w:qFormat/>
    <w:pPr>
      <w:tabs>
        <w:tab w:val="left" w:pos="1134"/>
      </w:tabs>
      <w:spacing w:after="120"/>
      <w:ind w:left="1134" w:hanging="567"/>
      <w:jc w:val="both"/>
      <w:outlineLvl w:val="0"/>
    </w:pPr>
    <w:rPr>
      <w:rFonts w:cs="Arial"/>
      <w:lang w:eastAsia="de-DE"/>
    </w:rPr>
  </w:style>
  <w:style w:type="paragraph" w:customStyle="1" w:styleId="Bullet1text">
    <w:name w:val="Bullet 1 text"/>
    <w:basedOn w:val="Normal"/>
    <w:qFormat/>
    <w:pPr>
      <w:spacing w:after="120"/>
      <w:ind w:left="1134"/>
      <w:jc w:val="both"/>
    </w:pPr>
    <w:rPr>
      <w:rFonts w:cs="Arial"/>
      <w:lang w:val="fr-FR"/>
    </w:rPr>
  </w:style>
  <w:style w:type="paragraph" w:customStyle="1" w:styleId="Bullet2">
    <w:name w:val="Bullet 2"/>
    <w:basedOn w:val="Normal"/>
    <w:qFormat/>
    <w:pPr>
      <w:numPr>
        <w:numId w:val="6"/>
      </w:numPr>
      <w:tabs>
        <w:tab w:val="left" w:pos="1701"/>
      </w:tabs>
      <w:spacing w:after="120"/>
      <w:ind w:left="1701" w:hanging="567"/>
      <w:jc w:val="both"/>
    </w:pPr>
    <w:rPr>
      <w:rFonts w:cs="Arial"/>
    </w:rPr>
  </w:style>
  <w:style w:type="paragraph" w:customStyle="1" w:styleId="Bullet2text">
    <w:name w:val="Bullet 2 text"/>
    <w:basedOn w:val="Normal"/>
    <w:qFormat/>
    <w:pPr>
      <w:spacing w:after="120"/>
      <w:ind w:left="1701"/>
      <w:jc w:val="both"/>
    </w:pPr>
    <w:rPr>
      <w:rFonts w:cs="Arial"/>
    </w:rPr>
  </w:style>
  <w:style w:type="paragraph" w:customStyle="1" w:styleId="Bullet3">
    <w:name w:val="Bullet 3"/>
    <w:basedOn w:val="Normal"/>
    <w:qFormat/>
    <w:pPr>
      <w:numPr>
        <w:numId w:val="12"/>
      </w:numPr>
      <w:tabs>
        <w:tab w:val="left" w:pos="2268"/>
      </w:tabs>
      <w:spacing w:after="60"/>
      <w:ind w:left="2268" w:hanging="567"/>
      <w:jc w:val="both"/>
    </w:pPr>
    <w:rPr>
      <w:rFonts w:cs="Arial"/>
      <w:sz w:val="20"/>
    </w:rPr>
  </w:style>
  <w:style w:type="paragraph" w:customStyle="1" w:styleId="Bullet3text">
    <w:name w:val="Bullet 3 text"/>
    <w:basedOn w:val="Normal"/>
    <w:qFormat/>
    <w:pPr>
      <w:spacing w:after="60"/>
      <w:ind w:left="2268"/>
    </w:pPr>
    <w:rPr>
      <w:rFonts w:cs="Arial"/>
      <w:sz w:val="20"/>
    </w:rPr>
  </w:style>
  <w:style w:type="paragraph" w:customStyle="1" w:styleId="Figure">
    <w:name w:val="Figure_#"/>
    <w:basedOn w:val="Normal"/>
    <w:next w:val="Normal"/>
    <w:qFormat/>
    <w:pPr>
      <w:numPr>
        <w:numId w:val="7"/>
      </w:numPr>
      <w:spacing w:before="120" w:after="120"/>
      <w:jc w:val="center"/>
    </w:pPr>
    <w:rPr>
      <w:i/>
      <w:szCs w:val="20"/>
    </w:rPr>
  </w:style>
  <w:style w:type="paragraph" w:customStyle="1" w:styleId="HeaderandFooter">
    <w:name w:val="Header and Footer"/>
    <w:basedOn w:val="Normal"/>
    <w:qFormat/>
  </w:style>
  <w:style w:type="paragraph" w:styleId="Footer">
    <w:name w:val="footer"/>
    <w:basedOn w:val="Normal"/>
    <w:pPr>
      <w:tabs>
        <w:tab w:val="center" w:pos="4820"/>
        <w:tab w:val="right" w:pos="9639"/>
      </w:tabs>
    </w:pPr>
  </w:style>
  <w:style w:type="paragraph" w:styleId="Header">
    <w:name w:val="header"/>
    <w:basedOn w:val="Normal"/>
    <w:pPr>
      <w:tabs>
        <w:tab w:val="center" w:pos="4820"/>
        <w:tab w:val="right" w:pos="9639"/>
      </w:tabs>
    </w:pPr>
  </w:style>
  <w:style w:type="paragraph" w:customStyle="1" w:styleId="Aufzhlungszeichen31">
    <w:name w:val="Aufzählungszeichen 31"/>
    <w:basedOn w:val="Normal"/>
    <w:qFormat/>
    <w:pPr>
      <w:numPr>
        <w:numId w:val="10"/>
      </w:numPr>
      <w:spacing w:after="120"/>
      <w:jc w:val="both"/>
    </w:pPr>
    <w:rPr>
      <w:rFonts w:eastAsia="MS Mincho"/>
      <w:lang w:eastAsia="ja-JP"/>
    </w:rPr>
  </w:style>
  <w:style w:type="paragraph" w:customStyle="1" w:styleId="List1indent2">
    <w:name w:val="List 1 indent 2"/>
    <w:basedOn w:val="Normal"/>
    <w:qFormat/>
    <w:pPr>
      <w:widowControl w:val="0"/>
      <w:tabs>
        <w:tab w:val="left" w:pos="567"/>
      </w:tabs>
      <w:spacing w:after="120"/>
      <w:ind w:left="567" w:hanging="567"/>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styleId="TableofFigures">
    <w:name w:val="table of figures"/>
    <w:basedOn w:val="Normal"/>
    <w:next w:val="Normal"/>
    <w:qFormat/>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pPr>
      <w:numPr>
        <w:numId w:val="9"/>
      </w:numPr>
      <w:spacing w:before="120" w:after="120"/>
      <w:jc w:val="center"/>
    </w:pPr>
    <w:rPr>
      <w:i/>
      <w:szCs w:val="20"/>
    </w:rPr>
  </w:style>
  <w:style w:type="paragraph" w:styleId="TOC1">
    <w:name w:val="toc 1"/>
    <w:basedOn w:val="Normal"/>
    <w:next w:val="Normal"/>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pPr>
      <w:tabs>
        <w:tab w:val="left" w:pos="2268"/>
        <w:tab w:val="right" w:pos="9639"/>
      </w:tabs>
      <w:ind w:left="2268" w:right="284" w:hanging="850"/>
    </w:pPr>
    <w:rPr>
      <w:rFonts w:ascii="Calibri" w:eastAsia="Times New Roman" w:hAnsi="Calibri" w:cs="Times New Roman"/>
    </w:rPr>
  </w:style>
  <w:style w:type="paragraph" w:styleId="TOC4">
    <w:name w:val="toc 4"/>
    <w:basedOn w:val="Normal"/>
    <w:next w:val="Normal"/>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pPr>
      <w:ind w:left="880"/>
    </w:pPr>
    <w:rPr>
      <w:rFonts w:ascii="Times New Roman" w:eastAsia="Times New Roman" w:hAnsi="Times New Roman" w:cs="Times New Roman"/>
      <w:szCs w:val="24"/>
      <w:lang w:eastAsia="en-US"/>
    </w:rPr>
  </w:style>
  <w:style w:type="paragraph" w:styleId="TOC6">
    <w:name w:val="toc 6"/>
    <w:basedOn w:val="Normal"/>
    <w:next w:val="Normal"/>
    <w:autoRedefine/>
    <w:pPr>
      <w:ind w:left="1100"/>
    </w:pPr>
    <w:rPr>
      <w:rFonts w:ascii="Times New Roman" w:eastAsia="Times New Roman" w:hAnsi="Times New Roman" w:cs="Times New Roman"/>
      <w:szCs w:val="24"/>
      <w:lang w:eastAsia="en-US"/>
    </w:rPr>
  </w:style>
  <w:style w:type="paragraph" w:styleId="TOC7">
    <w:name w:val="toc 7"/>
    <w:basedOn w:val="Normal"/>
    <w:next w:val="Normal"/>
    <w:autoRedefine/>
    <w:pPr>
      <w:ind w:left="1200"/>
    </w:pPr>
    <w:rPr>
      <w:sz w:val="20"/>
      <w:szCs w:val="20"/>
    </w:rPr>
  </w:style>
  <w:style w:type="paragraph" w:styleId="TOC8">
    <w:name w:val="toc 8"/>
    <w:basedOn w:val="Normal"/>
    <w:next w:val="Normal"/>
    <w:autoRedefine/>
    <w:pPr>
      <w:ind w:left="1440"/>
    </w:pPr>
    <w:rPr>
      <w:sz w:val="20"/>
      <w:szCs w:val="20"/>
    </w:rPr>
  </w:style>
  <w:style w:type="paragraph" w:styleId="TOC9">
    <w:name w:val="toc 9"/>
    <w:basedOn w:val="Normal"/>
    <w:next w:val="Normal"/>
    <w:autoRedefine/>
    <w:pPr>
      <w:ind w:left="1680"/>
    </w:pPr>
    <w:rPr>
      <w:sz w:val="20"/>
      <w:szCs w:val="20"/>
    </w:rPr>
  </w:style>
  <w:style w:type="paragraph" w:styleId="BodyTextIndent">
    <w:name w:val="Body Text Indent"/>
    <w:basedOn w:val="Normal"/>
    <w:pPr>
      <w:spacing w:after="120"/>
      <w:ind w:left="567"/>
    </w:pPr>
  </w:style>
  <w:style w:type="paragraph" w:styleId="BodyTextIndent2">
    <w:name w:val="Body Text Indent 2"/>
    <w:basedOn w:val="Normal"/>
    <w:qFormat/>
    <w:pPr>
      <w:spacing w:after="120"/>
      <w:ind w:left="1134"/>
      <w:jc w:val="both"/>
    </w:pPr>
    <w:rPr>
      <w:lang w:eastAsia="de-DE"/>
    </w:rPr>
  </w:style>
  <w:style w:type="paragraph" w:styleId="FootnoteText">
    <w:name w:val="footnote text"/>
    <w:basedOn w:val="Normal"/>
    <w:rPr>
      <w:sz w:val="20"/>
      <w:szCs w:val="20"/>
    </w:rPr>
  </w:style>
  <w:style w:type="paragraph" w:styleId="Subtitle">
    <w:name w:val="Subtitle"/>
    <w:basedOn w:val="Normal"/>
    <w:uiPriority w:val="11"/>
    <w:qFormat/>
    <w:pPr>
      <w:spacing w:after="60"/>
      <w:jc w:val="center"/>
      <w:outlineLvl w:val="1"/>
    </w:pPr>
    <w:rPr>
      <w:rFonts w:cs="Arial"/>
    </w:rPr>
  </w:style>
  <w:style w:type="paragraph" w:styleId="Title">
    <w:name w:val="Title"/>
    <w:basedOn w:val="Normal"/>
    <w:uiPriority w:val="10"/>
    <w:qFormat/>
    <w:pPr>
      <w:spacing w:before="120" w:after="240"/>
      <w:jc w:val="center"/>
      <w:outlineLvl w:val="0"/>
    </w:pPr>
    <w:rPr>
      <w:rFonts w:cs="Arial"/>
      <w:b/>
      <w:bCs/>
      <w:kern w:val="2"/>
      <w:sz w:val="32"/>
      <w:szCs w:val="32"/>
    </w:rPr>
  </w:style>
  <w:style w:type="paragraph" w:customStyle="1" w:styleId="List1indent1">
    <w:name w:val="List 1 indent 1"/>
    <w:basedOn w:val="Normal"/>
    <w:qFormat/>
    <w:pPr>
      <w:tabs>
        <w:tab w:val="left" w:pos="567"/>
      </w:tabs>
      <w:spacing w:after="120"/>
      <w:ind w:left="567" w:hanging="567"/>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8"/>
      </w:numPr>
      <w:spacing w:after="120"/>
    </w:pPr>
    <w:rPr>
      <w:szCs w:val="20"/>
    </w:rPr>
  </w:style>
  <w:style w:type="paragraph" w:customStyle="1" w:styleId="AppendixHeading1">
    <w:name w:val="Appendix Heading 1"/>
    <w:basedOn w:val="Normal"/>
    <w:next w:val="BodyText"/>
    <w:qFormat/>
    <w:pPr>
      <w:numPr>
        <w:numId w:val="5"/>
      </w:numPr>
      <w:spacing w:before="120" w:after="120"/>
    </w:pPr>
    <w:rPr>
      <w:rFonts w:cs="Arial"/>
      <w:b/>
      <w:caps/>
      <w:sz w:val="24"/>
    </w:rPr>
  </w:style>
  <w:style w:type="paragraph" w:customStyle="1" w:styleId="AppendixHeading2">
    <w:name w:val="Appendix Heading 2"/>
    <w:basedOn w:val="Normal"/>
    <w:next w:val="BodyText"/>
    <w:qFormat/>
    <w:pPr>
      <w:tabs>
        <w:tab w:val="left" w:pos="567"/>
      </w:tabs>
      <w:spacing w:before="120" w:after="120"/>
      <w:ind w:left="567" w:hanging="567"/>
    </w:pPr>
    <w:rPr>
      <w:rFonts w:cs="Arial"/>
      <w:b/>
    </w:rPr>
  </w:style>
  <w:style w:type="paragraph" w:customStyle="1" w:styleId="AppendixHeading3">
    <w:name w:val="Appendix Heading 3"/>
    <w:basedOn w:val="Normal"/>
    <w:next w:val="Normal"/>
    <w:qFormat/>
    <w:pPr>
      <w:tabs>
        <w:tab w:val="left" w:pos="567"/>
      </w:tabs>
      <w:spacing w:before="120" w:after="120"/>
      <w:ind w:left="567" w:hanging="567"/>
    </w:pPr>
    <w:rPr>
      <w:rFonts w:cs="Arial"/>
    </w:rPr>
  </w:style>
  <w:style w:type="paragraph" w:customStyle="1" w:styleId="AppendixHeading4">
    <w:name w:val="Appendix Heading 4"/>
    <w:basedOn w:val="Normal"/>
    <w:next w:val="BodyText"/>
    <w:qFormat/>
    <w:pPr>
      <w:tabs>
        <w:tab w:val="left" w:pos="567"/>
      </w:tabs>
      <w:spacing w:before="120" w:after="120"/>
      <w:ind w:left="567" w:hanging="567"/>
    </w:pPr>
    <w:rPr>
      <w:rFonts w:cs="Arial"/>
    </w:rPr>
  </w:style>
  <w:style w:type="paragraph" w:customStyle="1" w:styleId="equation">
    <w:name w:val="equation"/>
    <w:basedOn w:val="Normal"/>
    <w:next w:val="BodyText"/>
    <w:qFormat/>
    <w:pPr>
      <w:keepNext/>
      <w:numPr>
        <w:numId w:val="11"/>
      </w:numPr>
      <w:tabs>
        <w:tab w:val="left" w:pos="142"/>
      </w:tabs>
      <w:spacing w:after="120"/>
      <w:jc w:val="right"/>
    </w:pPr>
    <w:rPr>
      <w:rFonts w:eastAsia="Times New Roman" w:cs="Times New Roman"/>
      <w:szCs w:val="24"/>
      <w:lang w:eastAsia="en-US"/>
    </w:rPr>
  </w:style>
  <w:style w:type="paragraph" w:customStyle="1" w:styleId="Gruformel1">
    <w:name w:val="Grußformel1"/>
    <w:basedOn w:val="Normal"/>
    <w:next w:val="Normal"/>
    <w:qFormat/>
    <w:pPr>
      <w:numPr>
        <w:numId w:val="13"/>
      </w:numPr>
      <w:spacing w:before="120" w:after="240"/>
      <w:ind w:left="1985" w:hanging="1985"/>
    </w:pPr>
    <w:rPr>
      <w:b/>
      <w:sz w:val="24"/>
      <w:szCs w:val="28"/>
      <w:lang w:eastAsia="en-US"/>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Revision">
    <w:name w:val="Revision"/>
    <w:qFormat/>
    <w:pPr>
      <w:suppressAutoHyphens w:val="0"/>
    </w:pPr>
    <w:rPr>
      <w:rFonts w:ascii="Arial" w:hAnsi="Arial" w:cs="Calibri"/>
      <w:sz w:val="22"/>
      <w:szCs w:val="22"/>
    </w:rPr>
  </w:style>
  <w:style w:type="paragraph" w:styleId="BodyText3">
    <w:name w:val="Body Text 3"/>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ind w:left="720"/>
    </w:pPr>
    <w:rPr>
      <w:bCs/>
      <w:i/>
      <w:iCs/>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numbering" w:styleId="ArticleSection">
    <w:name w:val="Outline List 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nextcloud.iala-aism.org/index.php/f/171996" TargetMode="External"/><Relationship Id="rId26" Type="http://schemas.openxmlformats.org/officeDocument/2006/relationships/hyperlink" Target="https://nextcloud.iala-aism.org/index.php/f/116995" TargetMode="External"/><Relationship Id="rId3" Type="http://schemas.openxmlformats.org/officeDocument/2006/relationships/customXml" Target="../customXml/item3.xml"/><Relationship Id="rId21" Type="http://schemas.openxmlformats.org/officeDocument/2006/relationships/hyperlink" Target="https://www.iala-aism.org/product/g1157-web-service-based-s-100-data-exchange/?download=true"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nextcloud.iala-aism.org/index.php/f/171996" TargetMode="External"/><Relationship Id="rId25" Type="http://schemas.openxmlformats.org/officeDocument/2006/relationships/hyperlink" Target="https://webstore.iec.ch/publication/64543"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ala-aism.org/product/g1128-specification-e-navigation-technical-services/?download=true" TargetMode="External"/><Relationship Id="rId20" Type="http://schemas.openxmlformats.org/officeDocument/2006/relationships/hyperlink" Target="https://www.iala-aism.org/product/g1143-unique-identifiers-for-maritime-resources-2/?download=true" TargetMode="External"/><Relationship Id="rId29" Type="http://schemas.openxmlformats.org/officeDocument/2006/relationships/hyperlink" Target="https://www.iala-aism.org/repository/20220217/recommendations/R0127%20(V-127)%20Ed3.2%20VTS%20Operations%20January%20202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ala-aism.org/repository/20220217/recommendations/R0127%20(V-127)%20Ed3.2%20VTS%20Operations%20January%202022.pdf" TargetMode="External"/><Relationship Id="rId24" Type="http://schemas.openxmlformats.org/officeDocument/2006/relationships/hyperlink" Target="https://webstore.iec.ch/publication/64543" TargetMode="External"/><Relationship Id="rId32" Type="http://schemas.openxmlformats.org/officeDocument/2006/relationships/hyperlink" Target="https://www.imo.org/en/OurWork/Facilitation/Pages/IMOCompendium.aspx" TargetMode="External"/><Relationship Id="rId5" Type="http://schemas.openxmlformats.org/officeDocument/2006/relationships/styles" Target="styles.xml"/><Relationship Id="rId15" Type="http://schemas.openxmlformats.org/officeDocument/2006/relationships/hyperlink" Target="https://www.iala-aism.org/repository/20220217/guidelines/G1161%20Evaluation%20of%20Platforms%20for%20the%20Provision%20of%20Maritime%20Services%20Ed1.0.pdf" TargetMode="External"/><Relationship Id="rId23" Type="http://schemas.openxmlformats.org/officeDocument/2006/relationships/hyperlink" Target="http://maritimeconnectivity.net/" TargetMode="External"/><Relationship Id="rId28" Type="http://schemas.openxmlformats.org/officeDocument/2006/relationships/hyperlink" Target="https://www.iala-aism.org/product/provision-of-vts-types-of-service-1089/" TargetMode="External"/><Relationship Id="rId36" Type="http://schemas.openxmlformats.org/officeDocument/2006/relationships/theme" Target="theme/theme1.xml"/><Relationship Id="rId10" Type="http://schemas.openxmlformats.org/officeDocument/2006/relationships/hyperlink" Target="https://www.iala-aism.org/repository/20220217/guidelines/G1141%20Ed2.1%20Operational%20Procedures%20for%20Delivering%20VTS%20January%202022.pdf" TargetMode="External"/><Relationship Id="rId19" Type="http://schemas.openxmlformats.org/officeDocument/2006/relationships/hyperlink" Target="https://nextcloud.iala-aism.org/index.php/f/172160" TargetMode="External"/><Relationship Id="rId31" Type="http://schemas.openxmlformats.org/officeDocument/2006/relationships/hyperlink" Target="https://www.iala-aism.org/product/ship-reporting-from-a-shore-based-perspect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iala-aism.org/product/g1161-evaluation-of-platforms-for-the-provision-of-maritime-services-in-the-context-of-e-navigation/" TargetMode="External"/><Relationship Id="rId27" Type="http://schemas.openxmlformats.org/officeDocument/2006/relationships/hyperlink" Target="https://www.iala-aism.org/product/operational-procedure-for-delivering-vts/" TargetMode="External"/><Relationship Id="rId30" Type="http://schemas.openxmlformats.org/officeDocument/2006/relationships/hyperlink" Target="https://www.iala-aism.org/product/r0145/" TargetMode="External"/><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6" ma:contentTypeDescription="Create a new document." ma:contentTypeScope="" ma:versionID="4d64db8acb34b7d8d982d21242169ba5">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8ea6b26a7e32588774012f97fb8a86a1"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72E48-D887-4B37-9FAA-7E25F587C2F4}">
  <ds:schemaRefs>
    <ds:schemaRef ds:uri="http://schemas.microsoft.com/office/2006/metadata/properties"/>
    <ds:schemaRef ds:uri="http://schemas.microsoft.com/office/infopath/2007/PartnerControls"/>
    <ds:schemaRef ds:uri="ac5f8115-f13f-4d01-aff4-515a67108c33"/>
    <ds:schemaRef ds:uri="06022411-6e02-423b-85fd-39e0748b9219"/>
  </ds:schemaRefs>
</ds:datastoreItem>
</file>

<file path=customXml/itemProps2.xml><?xml version="1.0" encoding="utf-8"?>
<ds:datastoreItem xmlns:ds="http://schemas.openxmlformats.org/officeDocument/2006/customXml" ds:itemID="{85C04490-BE28-4F0C-92DF-713F431E4314}">
  <ds:schemaRefs>
    <ds:schemaRef ds:uri="http://schemas.microsoft.com/sharepoint/v3/contenttype/forms"/>
  </ds:schemaRefs>
</ds:datastoreItem>
</file>

<file path=customXml/itemProps3.xml><?xml version="1.0" encoding="utf-8"?>
<ds:datastoreItem xmlns:ds="http://schemas.openxmlformats.org/officeDocument/2006/customXml" ds:itemID="{BD543312-DDD6-4F7B-9636-8ED00DCB6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1914</Words>
  <Characters>10916</Characters>
  <Application>Microsoft Office Word</Application>
  <DocSecurity>0</DocSecurity>
  <Lines>90</Lines>
  <Paragraphs>25</Paragraphs>
  <ScaleCrop>false</ScaleCrop>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dc:creator>
  <dc:description/>
  <cp:lastModifiedBy>Kevin Gregory</cp:lastModifiedBy>
  <cp:revision>3</cp:revision>
  <dcterms:created xsi:type="dcterms:W3CDTF">2022-08-22T10:50:00Z</dcterms:created>
  <dcterms:modified xsi:type="dcterms:W3CDTF">2022-08-22T14:54:00Z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MediaServiceImageTags">
    <vt:lpwstr/>
  </property>
</Properties>
</file>