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902B" w14:textId="38631E7D" w:rsidR="00AE4730" w:rsidRDefault="00616CD4">
      <w:pPr>
        <w:pStyle w:val="Header"/>
        <w:tabs>
          <w:tab w:val="clear" w:pos="9639"/>
          <w:tab w:val="right" w:pos="5954"/>
        </w:tabs>
        <w:spacing w:after="240"/>
        <w:jc w:val="right"/>
        <w:rPr>
          <w:rFonts w:ascii="Calibri" w:hAnsi="Calibri"/>
        </w:rPr>
      </w:pPr>
      <w:r>
        <w:rPr>
          <w:rFonts w:ascii="Calibri" w:hAnsi="Calibri"/>
        </w:rPr>
        <w:t xml:space="preserve">Input paper: </w:t>
      </w:r>
      <w:r>
        <w:rPr>
          <w:rStyle w:val="FootnoteReference"/>
          <w:rFonts w:ascii="Calibri" w:hAnsi="Calibri"/>
          <w:sz w:val="22"/>
          <w:vertAlign w:val="superscript"/>
        </w:rPr>
        <w:footnoteReference w:id="1"/>
      </w:r>
      <w:r>
        <w:rPr>
          <w:rFonts w:ascii="Calibri" w:hAnsi="Calibri"/>
        </w:rPr>
        <w:t xml:space="preserve">  VTS5</w:t>
      </w:r>
      <w:r>
        <w:rPr>
          <w:rFonts w:ascii="Calibri" w:eastAsia="SimSun" w:hAnsi="Calibri" w:hint="eastAsia"/>
          <w:lang w:val="en-US" w:eastAsia="zh-CN"/>
        </w:rPr>
        <w:t>3</w:t>
      </w:r>
      <w:r>
        <w:rPr>
          <w:rFonts w:ascii="Calibri" w:hAnsi="Calibri"/>
        </w:rPr>
        <w:t>-8.2.1</w:t>
      </w:r>
    </w:p>
    <w:p w14:paraId="0AE5902C" w14:textId="77777777" w:rsidR="00AE4730" w:rsidRDefault="00AE4730">
      <w:pPr>
        <w:pStyle w:val="BodyText"/>
        <w:tabs>
          <w:tab w:val="left" w:pos="2835"/>
        </w:tabs>
        <w:rPr>
          <w:rFonts w:ascii="Calibri" w:hAnsi="Calibri"/>
        </w:rPr>
      </w:pPr>
    </w:p>
    <w:p w14:paraId="0AE5902D" w14:textId="77777777" w:rsidR="00AE4730" w:rsidRDefault="00AE4730">
      <w:pPr>
        <w:pStyle w:val="BodyText"/>
        <w:tabs>
          <w:tab w:val="left" w:pos="2835"/>
        </w:tabs>
        <w:rPr>
          <w:rFonts w:ascii="Calibri" w:hAnsi="Calibri"/>
        </w:rPr>
      </w:pPr>
    </w:p>
    <w:p w14:paraId="0AE5902E" w14:textId="77777777" w:rsidR="00AE4730" w:rsidRDefault="00616CD4">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0AE5902F" w14:textId="77777777" w:rsidR="00AE4730" w:rsidRDefault="00616CD4">
      <w:pPr>
        <w:pStyle w:val="BodyText"/>
        <w:tabs>
          <w:tab w:val="left" w:pos="1843"/>
        </w:tabs>
        <w:rPr>
          <w:rFonts w:ascii="Calibri" w:hAnsi="Calibri" w:cs="Arial"/>
          <w:b/>
          <w:sz w:val="24"/>
          <w:szCs w:val="24"/>
        </w:rPr>
      </w:pPr>
      <w:r>
        <w:rPr>
          <w:rFonts w:ascii="Calibri" w:hAnsi="Calibri" w:cs="Arial"/>
          <w:b/>
          <w:sz w:val="24"/>
          <w:szCs w:val="24"/>
        </w:rPr>
        <w:t>□</w:t>
      </w:r>
      <w:r>
        <w:rPr>
          <w:rFonts w:ascii="Calibri" w:hAnsi="Calibri" w:cs="Arial"/>
          <w:sz w:val="24"/>
          <w:szCs w:val="24"/>
        </w:rPr>
        <w:t xml:space="preserve">  </w:t>
      </w:r>
      <w:r>
        <w:rPr>
          <w:rFonts w:ascii="Calibri" w:hAnsi="Calibri" w:cs="Arial"/>
        </w:rPr>
        <w:t>ARM</w:t>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ENG</w:t>
      </w:r>
      <w:r>
        <w:rPr>
          <w:rFonts w:ascii="Calibri" w:hAnsi="Calibri" w:cs="Arial"/>
        </w:rPr>
        <w:tab/>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PAP</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w:t>
      </w:r>
      <w:r>
        <w:rPr>
          <w:rFonts w:ascii="Calibri" w:hAnsi="Calibri" w:cs="Arial"/>
          <w:sz w:val="24"/>
          <w:szCs w:val="24"/>
        </w:rPr>
        <w:t xml:space="preserve">  Input</w:t>
      </w:r>
    </w:p>
    <w:p w14:paraId="0AE59030" w14:textId="77777777" w:rsidR="00AE4730" w:rsidRDefault="00616CD4">
      <w:pPr>
        <w:pStyle w:val="BodyText"/>
        <w:tabs>
          <w:tab w:val="left" w:pos="1843"/>
        </w:tabs>
        <w:rPr>
          <w:rFonts w:ascii="Calibri" w:hAnsi="Calibri"/>
        </w:rPr>
      </w:pPr>
      <w:r>
        <w:rPr>
          <w:rFonts w:ascii="Calibri" w:hAnsi="Calibri" w:cs="Arial"/>
          <w:b/>
          <w:sz w:val="24"/>
          <w:szCs w:val="24"/>
        </w:rPr>
        <w:t>□</w:t>
      </w:r>
      <w:r>
        <w:rPr>
          <w:rFonts w:ascii="Calibri" w:hAnsi="Calibri" w:cs="Arial"/>
          <w:sz w:val="24"/>
          <w:szCs w:val="24"/>
        </w:rPr>
        <w:t xml:space="preserve">  </w:t>
      </w:r>
      <w:r>
        <w:rPr>
          <w:rFonts w:ascii="Calibri" w:hAnsi="Calibri" w:cs="Arial"/>
        </w:rPr>
        <w:t>ENAV</w:t>
      </w:r>
      <w:r>
        <w:rPr>
          <w:rFonts w:ascii="Calibri" w:hAnsi="Calibri" w:cs="Arial"/>
          <w:b/>
          <w:sz w:val="24"/>
          <w:szCs w:val="24"/>
        </w:rPr>
        <w:tab/>
        <w:t>X</w:t>
      </w:r>
      <w:r>
        <w:rPr>
          <w:rFonts w:ascii="Calibri" w:hAnsi="Calibri" w:cs="Arial"/>
          <w:sz w:val="24"/>
          <w:szCs w:val="24"/>
        </w:rPr>
        <w:t xml:space="preserve">  </w:t>
      </w:r>
      <w:r>
        <w:rPr>
          <w:rFonts w:ascii="Calibri" w:hAnsi="Calibri" w:cs="Arial"/>
        </w:rPr>
        <w:t>VTS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bCs/>
          <w:sz w:val="24"/>
          <w:szCs w:val="24"/>
        </w:rPr>
        <w:t>X</w:t>
      </w:r>
      <w:r>
        <w:rPr>
          <w:rFonts w:ascii="Calibri" w:hAnsi="Calibri" w:cs="Arial"/>
          <w:sz w:val="24"/>
          <w:szCs w:val="24"/>
        </w:rPr>
        <w:t xml:space="preserve">  Information</w:t>
      </w:r>
    </w:p>
    <w:p w14:paraId="0AE59031" w14:textId="77777777" w:rsidR="00AE4730" w:rsidRDefault="00AE4730">
      <w:pPr>
        <w:pStyle w:val="BodyText"/>
        <w:tabs>
          <w:tab w:val="left" w:pos="2835"/>
        </w:tabs>
        <w:rPr>
          <w:rFonts w:ascii="Calibri" w:hAnsi="Calibri"/>
        </w:rPr>
      </w:pPr>
    </w:p>
    <w:p w14:paraId="0AE59032" w14:textId="464A8DE5" w:rsidR="00AE4730" w:rsidRDefault="00616CD4">
      <w:pPr>
        <w:pStyle w:val="BodyText"/>
        <w:tabs>
          <w:tab w:val="left" w:pos="2835"/>
        </w:tabs>
        <w:rPr>
          <w:rFonts w:ascii="Calibri" w:hAnsi="Calibri"/>
        </w:rPr>
      </w:pPr>
      <w:r>
        <w:rPr>
          <w:rFonts w:ascii="Calibri" w:hAnsi="Calibri"/>
        </w:rPr>
        <w:t xml:space="preserve">Agenda item </w:t>
      </w:r>
      <w:r>
        <w:rPr>
          <w:rStyle w:val="FootnoteReference"/>
          <w:rFonts w:ascii="Calibri" w:hAnsi="Calibri"/>
          <w:sz w:val="22"/>
          <w:vertAlign w:val="superscript"/>
        </w:rPr>
        <w:footnoteReference w:id="2"/>
      </w:r>
      <w:r>
        <w:rPr>
          <w:rFonts w:ascii="Calibri" w:hAnsi="Calibri"/>
        </w:rPr>
        <w:tab/>
      </w:r>
      <w:r>
        <w:rPr>
          <w:rFonts w:ascii="Calibri" w:hAnsi="Calibri"/>
        </w:rPr>
        <w:tab/>
      </w:r>
      <w:r>
        <w:rPr>
          <w:rFonts w:ascii="Calibri" w:hAnsi="Calibri"/>
        </w:rPr>
        <w:tab/>
        <w:t>8.2</w:t>
      </w:r>
    </w:p>
    <w:p w14:paraId="0AE59033" w14:textId="77777777" w:rsidR="00AE4730" w:rsidRDefault="00616CD4">
      <w:pPr>
        <w:pStyle w:val="BodyText"/>
        <w:tabs>
          <w:tab w:val="left" w:pos="2835"/>
        </w:tabs>
        <w:rPr>
          <w:rFonts w:ascii="Calibri" w:hAnsi="Calibri"/>
        </w:rPr>
      </w:pPr>
      <w:r>
        <w:rPr>
          <w:rFonts w:ascii="Calibri" w:hAnsi="Calibri"/>
        </w:rPr>
        <w:t xml:space="preserve">Technical Domain / Task Number </w:t>
      </w:r>
      <w:r>
        <w:rPr>
          <w:rFonts w:ascii="Calibri" w:hAnsi="Calibri"/>
          <w:vertAlign w:val="superscript"/>
        </w:rPr>
        <w:t>2</w:t>
      </w:r>
      <w:r>
        <w:rPr>
          <w:rFonts w:ascii="Calibri" w:hAnsi="Calibri"/>
        </w:rPr>
        <w:tab/>
        <w:t>…………………………………</w:t>
      </w:r>
    </w:p>
    <w:p w14:paraId="0AE59034" w14:textId="77777777" w:rsidR="00AE4730" w:rsidRDefault="00616CD4">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t>…………………………………</w:t>
      </w:r>
    </w:p>
    <w:p w14:paraId="0AE59035" w14:textId="77777777" w:rsidR="00AE4730" w:rsidRDefault="00AE4730">
      <w:pPr>
        <w:pStyle w:val="BodyText"/>
        <w:tabs>
          <w:tab w:val="left" w:pos="2835"/>
        </w:tabs>
        <w:rPr>
          <w:rFonts w:ascii="Calibri" w:hAnsi="Calibri"/>
        </w:rPr>
      </w:pPr>
    </w:p>
    <w:p w14:paraId="0AE59036" w14:textId="77777777" w:rsidR="00AE4730" w:rsidRDefault="00616CD4">
      <w:pPr>
        <w:pStyle w:val="Title"/>
        <w:rPr>
          <w:rFonts w:ascii="Calibri" w:eastAsia="SimSun" w:hAnsi="Calibri"/>
          <w:color w:val="0070C0"/>
          <w:lang w:val="en-US" w:eastAsia="zh-CN"/>
        </w:rPr>
      </w:pPr>
      <w:r>
        <w:rPr>
          <w:rFonts w:ascii="Calibri" w:eastAsia="SimSun" w:hAnsi="Calibri" w:hint="eastAsia"/>
          <w:color w:val="0070C0"/>
          <w:lang w:val="en-US" w:eastAsia="zh-CN"/>
        </w:rPr>
        <w:t>Expected Influence of MASS on VTS Traffic Management Rules</w:t>
      </w:r>
    </w:p>
    <w:p w14:paraId="0AE59037" w14:textId="77777777" w:rsidR="00AE4730" w:rsidRDefault="00616CD4">
      <w:pPr>
        <w:pStyle w:val="Heading1"/>
      </w:pPr>
      <w:r>
        <w:rPr>
          <w:rFonts w:eastAsia="SimSun" w:hint="eastAsia"/>
          <w:lang w:val="en-US" w:eastAsia="zh-CN"/>
        </w:rPr>
        <w:t xml:space="preserve">BACKGROUND </w:t>
      </w:r>
    </w:p>
    <w:p w14:paraId="0AE59038" w14:textId="77777777" w:rsidR="00AE4730" w:rsidRDefault="00616CD4">
      <w:pPr>
        <w:pStyle w:val="BodyText"/>
        <w:rPr>
          <w:rFonts w:ascii="Calibri" w:eastAsia="SimSun" w:hAnsi="Calibri"/>
          <w:lang w:val="en-US" w:eastAsia="zh-CN"/>
        </w:rPr>
      </w:pPr>
      <w:r>
        <w:rPr>
          <w:rFonts w:ascii="Calibri" w:eastAsia="SimSun" w:hAnsi="Calibri" w:hint="eastAsia"/>
          <w:lang w:val="en-US" w:eastAsia="zh-CN"/>
        </w:rPr>
        <w:t xml:space="preserve">In May 2021, the International Maritime Organization (IMO) adopted the definition of the </w:t>
      </w:r>
      <w:r>
        <w:rPr>
          <w:rFonts w:ascii="Calibri" w:eastAsia="SimSun" w:hAnsi="Calibri" w:hint="eastAsia"/>
          <w:lang w:val="en-US" w:eastAsia="zh-CN"/>
        </w:rPr>
        <w:t>regulatory framework for Maritime Autonomous Surface Ships (MASS) at the MSC103 meeting, which will provide guidance to interested parties involved in MASS management other than MSC, with a view to producing more new output files. The International Associa</w:t>
      </w:r>
      <w:r>
        <w:rPr>
          <w:rFonts w:ascii="Calibri" w:eastAsia="SimSun" w:hAnsi="Calibri" w:hint="eastAsia"/>
          <w:lang w:val="en-US" w:eastAsia="zh-CN"/>
        </w:rPr>
        <w:t>tion of Navigation Marks (IALA), as an advisory member of IMO, plays an important role in driving the E-Nav strategy of IMO. Therefore, in the context of the E-Nav strategy, there is a common understanding between the two sides when looking at MASS managem</w:t>
      </w:r>
      <w:r>
        <w:rPr>
          <w:rFonts w:ascii="Calibri" w:eastAsia="SimSun" w:hAnsi="Calibri" w:hint="eastAsia"/>
          <w:lang w:val="en-US" w:eastAsia="zh-CN"/>
        </w:rPr>
        <w:t>ent issues. As a service and management organization for maritime vessel traffic safety, it is necessary for VTS to consider the risk factors in traffic flow after the emergence of autonomous vessels. A systematic and comprehensive awareness of the problem</w:t>
      </w:r>
      <w:r>
        <w:rPr>
          <w:rFonts w:ascii="Calibri" w:eastAsia="SimSun" w:hAnsi="Calibri" w:hint="eastAsia"/>
          <w:lang w:val="en-US" w:eastAsia="zh-CN"/>
        </w:rPr>
        <w:t>s and development trends, as well as the adjustment of management rules in advance, is conducive to the safety of water traffic during the coexistence of traditional ships and MASS with different levels of autonomy.</w:t>
      </w:r>
    </w:p>
    <w:p w14:paraId="0AE59039" w14:textId="77777777" w:rsidR="00AE4730" w:rsidRDefault="00616CD4">
      <w:pPr>
        <w:pStyle w:val="Heading1"/>
        <w:rPr>
          <w:rFonts w:eastAsia="SimSun"/>
          <w:lang w:val="en-US" w:eastAsia="zh-CN"/>
        </w:rPr>
      </w:pPr>
      <w:r>
        <w:rPr>
          <w:rFonts w:eastAsia="SimSun" w:hint="eastAsia"/>
          <w:lang w:val="en-US" w:eastAsia="zh-CN"/>
        </w:rPr>
        <w:t>URPOSES</w:t>
      </w:r>
    </w:p>
    <w:p w14:paraId="0AE5903A" w14:textId="77777777" w:rsidR="00AE4730" w:rsidRDefault="00616CD4">
      <w:pPr>
        <w:pStyle w:val="BodyText"/>
        <w:rPr>
          <w:rFonts w:ascii="Calibri" w:eastAsia="SimSun" w:hAnsi="Calibri"/>
          <w:lang w:val="en-US" w:eastAsia="zh-CN"/>
        </w:rPr>
      </w:pPr>
      <w:r>
        <w:rPr>
          <w:rFonts w:ascii="Calibri" w:eastAsia="SimSun" w:hAnsi="Calibri" w:hint="eastAsia"/>
          <w:lang w:val="en-US" w:eastAsia="zh-CN"/>
        </w:rPr>
        <w:t>Taking into account the concerns</w:t>
      </w:r>
      <w:r>
        <w:rPr>
          <w:rFonts w:ascii="Calibri" w:eastAsia="SimSun" w:hAnsi="Calibri" w:hint="eastAsia"/>
          <w:lang w:val="en-US" w:eastAsia="zh-CN"/>
        </w:rPr>
        <w:t xml:space="preserve"> of the VTS Committee on MASS and the possibility of developing future guidelines on MASS management, this paper sets out perspectives on influencing future MASS traffic management models from the perspectives of risk analysis, data requirements and techno</w:t>
      </w:r>
      <w:r>
        <w:rPr>
          <w:rFonts w:ascii="Calibri" w:eastAsia="SimSun" w:hAnsi="Calibri" w:hint="eastAsia"/>
          <w:lang w:val="en-US" w:eastAsia="zh-CN"/>
        </w:rPr>
        <w:t>logical developments, making the discussion of MASS in Task group Task-1.2.5 more complete and perfect.</w:t>
      </w:r>
    </w:p>
    <w:p w14:paraId="0AE5903B" w14:textId="77777777" w:rsidR="00AE4730" w:rsidRDefault="00616CD4">
      <w:pPr>
        <w:pStyle w:val="Heading1"/>
        <w:rPr>
          <w:rFonts w:eastAsia="SimSun"/>
          <w:lang w:val="en-US" w:eastAsia="zh-CN"/>
        </w:rPr>
      </w:pPr>
      <w:r>
        <w:rPr>
          <w:rFonts w:eastAsia="SimSun" w:hint="eastAsia"/>
          <w:lang w:val="en-US" w:eastAsia="zh-CN"/>
        </w:rPr>
        <w:t>Influence of MASS management risks on traffic management rules</w:t>
      </w:r>
    </w:p>
    <w:p w14:paraId="0AE5903C" w14:textId="77777777" w:rsidR="00AE4730" w:rsidRDefault="00616CD4">
      <w:pPr>
        <w:pStyle w:val="Heading2"/>
        <w:rPr>
          <w:lang w:val="en-US" w:eastAsia="zh-CN"/>
        </w:rPr>
      </w:pPr>
      <w:r>
        <w:rPr>
          <w:rFonts w:hint="eastAsia"/>
          <w:lang w:val="en-US" w:eastAsia="zh-CN"/>
        </w:rPr>
        <w:t>Identification of MASS</w:t>
      </w:r>
    </w:p>
    <w:p w14:paraId="0AE5903D" w14:textId="77777777" w:rsidR="00AE4730" w:rsidRDefault="00616CD4">
      <w:pPr>
        <w:pStyle w:val="List1"/>
        <w:numPr>
          <w:ilvl w:val="0"/>
          <w:numId w:val="0"/>
        </w:numPr>
        <w:rPr>
          <w:rFonts w:ascii="Calibri" w:eastAsia="SimSun" w:hAnsi="Calibri"/>
          <w:lang w:val="en-US" w:eastAsia="zh-CN"/>
        </w:rPr>
      </w:pPr>
      <w:r>
        <w:rPr>
          <w:rFonts w:ascii="Calibri" w:eastAsia="SimSun" w:hAnsi="Calibri" w:hint="eastAsia"/>
          <w:lang w:val="en-US" w:eastAsia="zh-CN"/>
        </w:rPr>
        <w:t xml:space="preserve">In the early days of MASS, autonomous vessels were mainly used in </w:t>
      </w:r>
      <w:r>
        <w:rPr>
          <w:rFonts w:ascii="Calibri" w:eastAsia="SimSun" w:hAnsi="Calibri" w:hint="eastAsia"/>
          <w:lang w:val="en-US" w:eastAsia="zh-CN"/>
        </w:rPr>
        <w:t>ports or in shallow water areas that may be beyond the VTS monitoring area. In addition, MASS's hulls are generally small at the beginning of development, making it difficult to locate and track by radar.  These small MASS are difficult to locate accuratel</w:t>
      </w:r>
      <w:r>
        <w:rPr>
          <w:rFonts w:ascii="Calibri" w:eastAsia="SimSun" w:hAnsi="Calibri" w:hint="eastAsia"/>
          <w:lang w:val="en-US" w:eastAsia="zh-CN"/>
        </w:rPr>
        <w:t>y by VTS compared to large merchant ships. From the safety point of view, port authorities will require shipping companies to strictly comply with the ship reporting system. But with no crew on board, the IMO and Recognized Organizations (RO) need to set u</w:t>
      </w:r>
      <w:r>
        <w:rPr>
          <w:rFonts w:ascii="Calibri" w:eastAsia="SimSun" w:hAnsi="Calibri" w:hint="eastAsia"/>
          <w:lang w:val="en-US" w:eastAsia="zh-CN"/>
        </w:rPr>
        <w:t xml:space="preserve">p new mechanisms related to the ship reporting system </w:t>
      </w:r>
      <w:r>
        <w:rPr>
          <w:rFonts w:ascii="Calibri" w:eastAsia="SimSun" w:hAnsi="Calibri" w:hint="eastAsia"/>
          <w:lang w:val="en-US" w:eastAsia="zh-CN"/>
        </w:rPr>
        <w:lastRenderedPageBreak/>
        <w:t>to ensure that the maritime authorities continuously receive both dynamic and static information about the ship.</w:t>
      </w:r>
    </w:p>
    <w:p w14:paraId="0AE5903E" w14:textId="77777777" w:rsidR="00AE4730" w:rsidRDefault="00616CD4">
      <w:pPr>
        <w:adjustRightInd w:val="0"/>
        <w:snapToGrid w:val="0"/>
        <w:jc w:val="both"/>
        <w:rPr>
          <w:rFonts w:ascii="Calibri" w:eastAsia="SimSun" w:hAnsi="Calibri"/>
          <w:lang w:val="en-US" w:eastAsia="zh-CN"/>
        </w:rPr>
      </w:pPr>
      <w:r>
        <w:rPr>
          <w:rFonts w:ascii="Calibri" w:eastAsia="SimSun" w:hAnsi="Calibri" w:hint="eastAsia"/>
          <w:lang w:val="en-US" w:eastAsia="zh-CN"/>
        </w:rPr>
        <w:t>Considering the particularity of MASS, it is still under discussion whether MASS should b</w:t>
      </w:r>
      <w:r>
        <w:rPr>
          <w:rFonts w:ascii="Calibri" w:eastAsia="SimSun" w:hAnsi="Calibri" w:hint="eastAsia"/>
          <w:lang w:val="en-US" w:eastAsia="zh-CN"/>
        </w:rPr>
        <w:t>e regarded as an ordinary ship in the future traffic management mechanism. At the 104th Maritime Security Committee meeting of the IMO, China proposed to assign the MMSI exclusive to MASS and mark the autonomy level in the submitted report on the real ship</w:t>
      </w:r>
      <w:r>
        <w:rPr>
          <w:rFonts w:ascii="Calibri" w:eastAsia="SimSun" w:hAnsi="Calibri" w:hint="eastAsia"/>
          <w:lang w:val="en-US" w:eastAsia="zh-CN"/>
        </w:rPr>
        <w:t xml:space="preserve"> trial of "Jindou Yun" MASS. In addition, it is recommended to distinguish the AIS signals of MASS and stipulate the MASS signal lights and shapes</w:t>
      </w:r>
      <w:r>
        <w:rPr>
          <w:rFonts w:ascii="Calibri" w:eastAsia="SimSun" w:hAnsi="Calibri" w:hint="eastAsia"/>
          <w:vertAlign w:val="superscript"/>
          <w:lang w:val="en-US" w:eastAsia="zh-CN"/>
        </w:rPr>
        <w:t>[1]</w:t>
      </w:r>
      <w:r>
        <w:rPr>
          <w:rFonts w:ascii="Calibri" w:eastAsia="SimSun" w:hAnsi="Calibri" w:hint="eastAsia"/>
          <w:lang w:val="en-US" w:eastAsia="zh-CN"/>
        </w:rPr>
        <w:t xml:space="preserve">. </w:t>
      </w:r>
    </w:p>
    <w:p w14:paraId="0AE5903F" w14:textId="77777777" w:rsidR="00AE4730" w:rsidRDefault="00616CD4">
      <w:pPr>
        <w:pStyle w:val="Heading2"/>
        <w:rPr>
          <w:lang w:val="en-US" w:eastAsia="zh-CN"/>
        </w:rPr>
      </w:pPr>
      <w:r>
        <w:rPr>
          <w:rFonts w:hint="eastAsia"/>
          <w:lang w:val="en-US" w:eastAsia="zh-CN"/>
        </w:rPr>
        <w:t>MASS Emergency Response</w:t>
      </w:r>
    </w:p>
    <w:p w14:paraId="0AE59040" w14:textId="77777777" w:rsidR="00AE4730" w:rsidRDefault="00616CD4">
      <w:pPr>
        <w:adjustRightInd w:val="0"/>
        <w:snapToGrid w:val="0"/>
        <w:jc w:val="both"/>
        <w:rPr>
          <w:rFonts w:ascii="Calibri" w:eastAsia="SimSun" w:hAnsi="Calibri"/>
          <w:lang w:val="en-US" w:eastAsia="zh-CN"/>
        </w:rPr>
      </w:pPr>
      <w:r>
        <w:rPr>
          <w:rFonts w:ascii="Calibri" w:eastAsia="SimSun" w:hAnsi="Calibri" w:hint="eastAsia"/>
          <w:lang w:val="en-US" w:eastAsia="zh-CN"/>
        </w:rPr>
        <w:t>IMO clarifies ship autonomy into four degrees</w:t>
      </w:r>
      <w:r>
        <w:rPr>
          <w:rFonts w:ascii="Calibri" w:eastAsia="SimSun" w:hAnsi="Calibri" w:hint="eastAsia"/>
          <w:vertAlign w:val="superscript"/>
          <w:lang w:val="en-US" w:eastAsia="zh-CN"/>
        </w:rPr>
        <w:t>[2]</w:t>
      </w:r>
      <w:r>
        <w:rPr>
          <w:rFonts w:ascii="Calibri" w:eastAsia="SimSun" w:hAnsi="Calibri" w:hint="eastAsia"/>
          <w:lang w:val="en-US" w:eastAsia="zh-CN"/>
        </w:rPr>
        <w:t xml:space="preserve">, namely, ship has </w:t>
      </w:r>
      <w:r>
        <w:rPr>
          <w:rFonts w:ascii="Calibri" w:eastAsia="SimSun" w:hAnsi="Calibri" w:hint="eastAsia"/>
          <w:lang w:val="en-US" w:eastAsia="zh-CN"/>
        </w:rPr>
        <w:t>automatic processing and decision supporting ability, remote control with crew on board, remote control without crew on board, and full autonomy of decision-making and action judgment. The four degrees are not different levels of ship autonomy. For example</w:t>
      </w:r>
      <w:r>
        <w:rPr>
          <w:rFonts w:ascii="Calibri" w:eastAsia="SimSun" w:hAnsi="Calibri" w:hint="eastAsia"/>
          <w:lang w:val="en-US" w:eastAsia="zh-CN"/>
        </w:rPr>
        <w:t>, a MASS with the highest Degree of autonomy (Degree 4) can decide which degree of autonomy to use according to the sailing waters and operational requirements.</w:t>
      </w:r>
    </w:p>
    <w:p w14:paraId="0AE59041" w14:textId="77777777" w:rsidR="00AE4730" w:rsidRDefault="00616CD4">
      <w:pPr>
        <w:adjustRightInd w:val="0"/>
        <w:snapToGrid w:val="0"/>
        <w:jc w:val="both"/>
        <w:rPr>
          <w:rFonts w:ascii="Calibri" w:eastAsia="SimSun" w:hAnsi="Calibri"/>
          <w:lang w:val="en-US" w:eastAsia="zh-CN"/>
        </w:rPr>
      </w:pPr>
      <w:r>
        <w:rPr>
          <w:rFonts w:ascii="Calibri" w:eastAsia="SimSun" w:hAnsi="Calibri" w:hint="eastAsia"/>
          <w:lang w:val="en-US" w:eastAsia="zh-CN"/>
        </w:rPr>
        <w:t>Considering that VTS waters are mostly concentrated areas or restricted waters, from the perspe</w:t>
      </w:r>
      <w:r>
        <w:rPr>
          <w:rFonts w:ascii="Calibri" w:eastAsia="SimSun" w:hAnsi="Calibri" w:hint="eastAsia"/>
          <w:lang w:val="en-US" w:eastAsia="zh-CN"/>
        </w:rPr>
        <w:t xml:space="preserve">ctive of safety, it is recommended that the MASS have crews on board for navigation operations. As a result, when VTS faces the MASS fleet in the future, ships with a high degree of autonomy will have fewer personnel on board. In addition, considering the </w:t>
      </w:r>
      <w:r>
        <w:rPr>
          <w:rFonts w:ascii="Calibri" w:eastAsia="SimSun" w:hAnsi="Calibri" w:hint="eastAsia"/>
          <w:lang w:val="en-US" w:eastAsia="zh-CN"/>
        </w:rPr>
        <w:t>high degree of integration and complexity of MASS remote control and sensing equipment with high degree of autonomy, the emergency recovery process and difficulty will be greater when failure of communication center or equipment occurs to the ship, thus br</w:t>
      </w:r>
      <w:r>
        <w:rPr>
          <w:rFonts w:ascii="Calibri" w:eastAsia="SimSun" w:hAnsi="Calibri" w:hint="eastAsia"/>
          <w:lang w:val="en-US" w:eastAsia="zh-CN"/>
        </w:rPr>
        <w:t xml:space="preserve">inging greater pressure to VTS emergency response. Refer to </w:t>
      </w:r>
      <w:bookmarkStart w:id="0" w:name="OLE_LINK1"/>
      <w:r>
        <w:rPr>
          <w:rFonts w:ascii="Calibri" w:eastAsia="SimSun" w:hAnsi="Calibri" w:hint="eastAsia"/>
          <w:lang w:val="en-US" w:eastAsia="zh-CN"/>
        </w:rPr>
        <w:t>Appendix</w:t>
      </w:r>
      <w:bookmarkEnd w:id="0"/>
      <w:r>
        <w:rPr>
          <w:rFonts w:ascii="Calibri" w:eastAsia="SimSun" w:hAnsi="Calibri" w:hint="eastAsia"/>
          <w:lang w:val="en-US" w:eastAsia="zh-CN"/>
        </w:rPr>
        <w:t xml:space="preserve"> 1.</w:t>
      </w:r>
    </w:p>
    <w:p w14:paraId="0AE59042" w14:textId="77777777" w:rsidR="00AE4730" w:rsidRDefault="00616CD4">
      <w:pPr>
        <w:adjustRightInd w:val="0"/>
        <w:snapToGrid w:val="0"/>
        <w:jc w:val="both"/>
        <w:rPr>
          <w:rFonts w:ascii="Calibri" w:eastAsia="SimSun" w:hAnsi="Calibri"/>
          <w:lang w:val="en-US" w:eastAsia="zh-CN"/>
        </w:rPr>
      </w:pPr>
      <w:r>
        <w:rPr>
          <w:rFonts w:ascii="Calibri" w:eastAsia="SimSun" w:hAnsi="Calibri" w:hint="eastAsia"/>
          <w:lang w:val="en-US" w:eastAsia="zh-CN"/>
        </w:rPr>
        <w:t>Excluding meteorological, hydrological and other dynamic environmental factors in sea areas with different offshore distances and with considering the complexity of ship equipment, the</w:t>
      </w:r>
      <w:r>
        <w:rPr>
          <w:rFonts w:ascii="Calibri" w:eastAsia="SimSun" w:hAnsi="Calibri" w:hint="eastAsia"/>
          <w:lang w:val="en-US" w:eastAsia="zh-CN"/>
        </w:rPr>
        <w:t xml:space="preserve"> crew number on board and the traffic density nearby (related to distance from shore), it is necessary to consider the risks of MASS with varying degrees of autonomy. At the same time, it is also in line with the future plans of VTS to participate in the I</w:t>
      </w:r>
      <w:r>
        <w:rPr>
          <w:rFonts w:ascii="Calibri" w:eastAsia="SimSun" w:hAnsi="Calibri" w:hint="eastAsia"/>
          <w:lang w:val="en-US" w:eastAsia="zh-CN"/>
        </w:rPr>
        <w:t>MO MSC to formulate the goal-based documents related to MASS. Refer to Appendix 2.</w:t>
      </w:r>
    </w:p>
    <w:p w14:paraId="0AE59043" w14:textId="77777777" w:rsidR="00AE4730" w:rsidRDefault="00616CD4">
      <w:pPr>
        <w:pStyle w:val="Heading1"/>
        <w:rPr>
          <w:rFonts w:eastAsia="SimSun"/>
          <w:lang w:val="en-US" w:eastAsia="zh-CN"/>
        </w:rPr>
      </w:pPr>
      <w:r>
        <w:rPr>
          <w:rFonts w:eastAsia="SimSun" w:hint="eastAsia"/>
          <w:lang w:val="en-US" w:eastAsia="zh-CN"/>
        </w:rPr>
        <w:t>Influence of MASS data requirements on traffic rules</w:t>
      </w:r>
    </w:p>
    <w:p w14:paraId="0AE59044" w14:textId="77777777" w:rsidR="00AE4730" w:rsidRDefault="00616CD4">
      <w:pPr>
        <w:adjustRightInd w:val="0"/>
        <w:snapToGrid w:val="0"/>
        <w:jc w:val="both"/>
        <w:rPr>
          <w:rFonts w:ascii="Calibri" w:eastAsia="SimSun" w:hAnsi="Calibri"/>
          <w:lang w:val="en-US" w:eastAsia="zh-CN"/>
        </w:rPr>
      </w:pPr>
      <w:r>
        <w:rPr>
          <w:rFonts w:ascii="Calibri" w:eastAsia="SimSun" w:hAnsi="Calibri" w:hint="eastAsia"/>
          <w:lang w:val="en-US" w:eastAsia="zh-CN"/>
        </w:rPr>
        <w:t>Now for MASS, remote driving, automatic docking and berth-leaving, and autonomous navigation can be realized by intellig</w:t>
      </w:r>
      <w:r>
        <w:rPr>
          <w:rFonts w:ascii="Calibri" w:eastAsia="SimSun" w:hAnsi="Calibri" w:hint="eastAsia"/>
          <w:lang w:val="en-US" w:eastAsia="zh-CN"/>
        </w:rPr>
        <w:t>ent navigation system equipped. For example, the Revolt autonomous ship project mainly considers sensors, data analysis and increasing channel bandwidth necessary for ship-shore data interaction</w:t>
      </w:r>
      <w:r>
        <w:rPr>
          <w:rFonts w:ascii="SimSun" w:eastAsia="SimSun" w:hAnsi="SimSun" w:cs="SimSun" w:hint="eastAsia"/>
          <w:vertAlign w:val="superscript"/>
          <w:lang w:val="en-US" w:eastAsia="zh-CN"/>
        </w:rPr>
        <w:t>[3]</w:t>
      </w:r>
      <w:r>
        <w:rPr>
          <w:rFonts w:ascii="Calibri" w:eastAsia="SimSun" w:hAnsi="Calibri" w:hint="eastAsia"/>
          <w:lang w:val="en-US" w:eastAsia="zh-CN"/>
        </w:rPr>
        <w:t>. Autonomous berthing technology in SVAN, a joint test proj</w:t>
      </w:r>
      <w:r>
        <w:rPr>
          <w:rFonts w:ascii="Calibri" w:eastAsia="SimSun" w:hAnsi="Calibri" w:hint="eastAsia"/>
          <w:lang w:val="en-US" w:eastAsia="zh-CN"/>
        </w:rPr>
        <w:t>ect of Rolls-Royce and Finnish Ferry, also considers ship-shore interaction of berthing data</w:t>
      </w:r>
      <w:r>
        <w:rPr>
          <w:rFonts w:ascii="SimSun" w:eastAsia="SimSun" w:hAnsi="SimSun" w:cs="SimSun" w:hint="eastAsia"/>
          <w:vertAlign w:val="superscript"/>
          <w:lang w:val="en-US" w:eastAsia="zh-CN"/>
        </w:rPr>
        <w:t>[4]</w:t>
      </w:r>
      <w:r>
        <w:rPr>
          <w:rFonts w:ascii="Calibri" w:eastAsia="SimSun" w:hAnsi="Calibri" w:hint="eastAsia"/>
          <w:lang w:val="en-US" w:eastAsia="zh-CN"/>
        </w:rPr>
        <w:t>.  At present, in the E-Nav field, the technologies related to VTS ship-shore data interaction mainly focus on the VHF Digital Exchange System (VDES) based on AI</w:t>
      </w:r>
      <w:r>
        <w:rPr>
          <w:rFonts w:ascii="Calibri" w:eastAsia="SimSun" w:hAnsi="Calibri" w:hint="eastAsia"/>
          <w:lang w:val="en-US" w:eastAsia="zh-CN"/>
        </w:rPr>
        <w:t>S extended applications;  VTS Shore-based data interaction focuses on</w:t>
      </w:r>
      <w:r>
        <w:rPr>
          <w:rFonts w:ascii="Calibri" w:eastAsia="SimSun" w:hAnsi="Calibri" w:hint="eastAsia"/>
          <w:lang w:val="en-US" w:eastAsia="zh-CN"/>
        </w:rPr>
        <w:t xml:space="preserve"> the radar image data interaction of Inter-VTS Exchange Format (IVEF).</w:t>
      </w:r>
      <w:r>
        <w:rPr>
          <w:rFonts w:ascii="Calibri" w:eastAsia="SimSun" w:hAnsi="Calibri" w:hint="eastAsia"/>
          <w:lang w:val="en-US" w:eastAsia="zh-CN"/>
        </w:rPr>
        <w:t xml:space="preserve">  Future data interaction between MASS and VTS shall consider more data formats, content and data security levels.  M</w:t>
      </w:r>
      <w:r>
        <w:rPr>
          <w:rFonts w:ascii="Calibri" w:eastAsia="SimSun" w:hAnsi="Calibri" w:hint="eastAsia"/>
          <w:lang w:val="en-US" w:eastAsia="zh-CN"/>
        </w:rPr>
        <w:t>ainly involved:</w:t>
      </w:r>
    </w:p>
    <w:p w14:paraId="0AE59045" w14:textId="77777777" w:rsidR="00AE4730" w:rsidRDefault="00616CD4">
      <w:pPr>
        <w:numPr>
          <w:ilvl w:val="0"/>
          <w:numId w:val="16"/>
        </w:numPr>
        <w:adjustRightInd w:val="0"/>
        <w:snapToGrid w:val="0"/>
        <w:jc w:val="both"/>
        <w:rPr>
          <w:rFonts w:ascii="Calibri" w:eastAsia="SimSun" w:hAnsi="Calibri"/>
          <w:lang w:val="en-US" w:eastAsia="zh-CN"/>
        </w:rPr>
      </w:pPr>
      <w:r>
        <w:rPr>
          <w:rFonts w:ascii="Calibri" w:eastAsia="SimSun" w:hAnsi="Calibri" w:hint="eastAsia"/>
          <w:lang w:val="en-US" w:eastAsia="zh-CN"/>
        </w:rPr>
        <w:t xml:space="preserve">Regulatory requirements and ship data interaction. The data mainly involves VTS management regulations, such as VTS navigation rules in waters, local port regulations, port interim administrative orders, etc.  Low level of secrecy. </w:t>
      </w:r>
    </w:p>
    <w:p w14:paraId="0AE59046" w14:textId="77777777" w:rsidR="00AE4730" w:rsidRDefault="00616CD4">
      <w:pPr>
        <w:numPr>
          <w:ilvl w:val="0"/>
          <w:numId w:val="16"/>
        </w:numPr>
        <w:adjustRightInd w:val="0"/>
        <w:snapToGrid w:val="0"/>
        <w:jc w:val="both"/>
        <w:rPr>
          <w:rFonts w:ascii="Calibri" w:eastAsia="SimSun" w:hAnsi="Calibri"/>
          <w:lang w:val="en-US" w:eastAsia="zh-CN"/>
        </w:rPr>
      </w:pPr>
      <w:r>
        <w:rPr>
          <w:rFonts w:ascii="Calibri" w:eastAsia="SimSun" w:hAnsi="Calibri" w:hint="eastAsia"/>
          <w:lang w:val="en-US" w:eastAsia="zh-CN"/>
        </w:rPr>
        <w:t>Exchang</w:t>
      </w:r>
      <w:r>
        <w:rPr>
          <w:rFonts w:ascii="Calibri" w:eastAsia="SimSun" w:hAnsi="Calibri" w:hint="eastAsia"/>
          <w:lang w:val="en-US" w:eastAsia="zh-CN"/>
        </w:rPr>
        <w:t xml:space="preserve">e of technical data and ship data. The data mainly involves meteorological, hydrological and visibility, and severe weather forecast data, with a medium level of confidentiality. </w:t>
      </w:r>
    </w:p>
    <w:p w14:paraId="0AE59047" w14:textId="77777777" w:rsidR="00AE4730" w:rsidRDefault="00616CD4">
      <w:pPr>
        <w:numPr>
          <w:ilvl w:val="0"/>
          <w:numId w:val="16"/>
        </w:numPr>
        <w:adjustRightInd w:val="0"/>
        <w:snapToGrid w:val="0"/>
        <w:jc w:val="both"/>
        <w:rPr>
          <w:rFonts w:ascii="Calibri" w:eastAsia="SimSun" w:hAnsi="Calibri"/>
          <w:lang w:val="en-US" w:eastAsia="zh-CN"/>
        </w:rPr>
      </w:pPr>
      <w:r>
        <w:rPr>
          <w:rFonts w:ascii="Calibri" w:eastAsia="SimSun" w:hAnsi="Calibri" w:hint="eastAsia"/>
          <w:lang w:val="en-US" w:eastAsia="zh-CN"/>
        </w:rPr>
        <w:t>Voyage information data exchange. Voyage data exchanged between VTS and indi</w:t>
      </w:r>
      <w:r>
        <w:rPr>
          <w:rFonts w:ascii="Calibri" w:eastAsia="SimSun" w:hAnsi="Calibri" w:hint="eastAsia"/>
          <w:lang w:val="en-US" w:eastAsia="zh-CN"/>
        </w:rPr>
        <w:t>vidual vessels, such as voyage, berthing and anchoring plans, are highly confidential.</w:t>
      </w:r>
    </w:p>
    <w:p w14:paraId="0AE59048" w14:textId="77777777" w:rsidR="00AE4730" w:rsidRDefault="00616CD4">
      <w:pPr>
        <w:pStyle w:val="ListParagraph"/>
        <w:widowControl w:val="0"/>
        <w:adjustRightInd w:val="0"/>
        <w:snapToGrid w:val="0"/>
        <w:ind w:left="0"/>
        <w:jc w:val="both"/>
        <w:rPr>
          <w:rFonts w:ascii="Calibri" w:eastAsia="SimSun" w:hAnsi="Calibri"/>
          <w:lang w:val="en-US" w:eastAsia="zh-CN"/>
        </w:rPr>
      </w:pPr>
      <w:r>
        <w:rPr>
          <w:rFonts w:ascii="Calibri" w:eastAsia="SimSun" w:hAnsi="Calibri" w:hint="eastAsia"/>
          <w:lang w:val="en-US" w:eastAsia="zh-CN"/>
        </w:rPr>
        <w:t>VTS needs to apply the above data interaction technology when managing MASS traffic, which means that VTS needs to specify the content and format of ship-shore data inte</w:t>
      </w:r>
      <w:r>
        <w:rPr>
          <w:rFonts w:ascii="Calibri" w:eastAsia="SimSun" w:hAnsi="Calibri" w:hint="eastAsia"/>
          <w:lang w:val="en-US" w:eastAsia="zh-CN"/>
        </w:rPr>
        <w:t xml:space="preserve">raction when formulating traffic management rules, </w:t>
      </w:r>
      <w:r>
        <w:rPr>
          <w:rFonts w:ascii="Calibri" w:eastAsia="SimSun" w:hAnsi="Calibri" w:hint="eastAsia"/>
          <w:lang w:val="en-US" w:eastAsia="zh-CN"/>
        </w:rPr>
        <w:t xml:space="preserve">and determine how VTS communicates with MASS </w:t>
      </w:r>
      <w:r>
        <w:rPr>
          <w:rFonts w:ascii="Calibri" w:eastAsia="SimSun" w:hAnsi="Calibri" w:hint="eastAsia"/>
          <w:lang w:val="en-US" w:eastAsia="zh-CN"/>
        </w:rPr>
        <w:t>to enable effective interaction with autonomous vessels, and encourage VTS to disclose its MASS traffic management and service capabilities in the future.</w:t>
      </w:r>
    </w:p>
    <w:p w14:paraId="0AE59049" w14:textId="77777777" w:rsidR="00AE4730" w:rsidRDefault="00616CD4">
      <w:pPr>
        <w:pStyle w:val="Heading1"/>
        <w:rPr>
          <w:rFonts w:eastAsia="SimSun"/>
          <w:lang w:val="en-US" w:eastAsia="zh-CN"/>
        </w:rPr>
      </w:pPr>
      <w:r>
        <w:rPr>
          <w:rFonts w:eastAsia="SimSun" w:hint="eastAsia"/>
          <w:lang w:val="en-US" w:eastAsia="zh-CN"/>
        </w:rPr>
        <w:lastRenderedPageBreak/>
        <w:t>Influ</w:t>
      </w:r>
      <w:r>
        <w:rPr>
          <w:rFonts w:eastAsia="SimSun" w:hint="eastAsia"/>
          <w:lang w:val="en-US" w:eastAsia="zh-CN"/>
        </w:rPr>
        <w:t>ence of MASS technology development on traffic management rules</w:t>
      </w:r>
    </w:p>
    <w:p w14:paraId="0AE5904A" w14:textId="77777777" w:rsidR="00AE4730" w:rsidRDefault="00616CD4">
      <w:pPr>
        <w:pStyle w:val="BodyText"/>
        <w:rPr>
          <w:rFonts w:ascii="Calibri" w:eastAsia="SimSun" w:hAnsi="Calibri"/>
          <w:lang w:val="en-US" w:eastAsia="zh-CN"/>
        </w:rPr>
      </w:pPr>
      <w:r>
        <w:rPr>
          <w:rFonts w:ascii="Calibri" w:eastAsia="SimSun" w:hAnsi="Calibri" w:hint="eastAsia"/>
          <w:lang w:val="en-US" w:eastAsia="zh-CN"/>
        </w:rPr>
        <w:t>The high-speed operation of MASS is likely to break the speed limit set by the current port traffic management regulations. To this, port management rules need to be adjusted. In addition, mar</w:t>
      </w:r>
      <w:r>
        <w:rPr>
          <w:rFonts w:ascii="Calibri" w:eastAsia="SimSun" w:hAnsi="Calibri" w:hint="eastAsia"/>
          <w:lang w:val="en-US" w:eastAsia="zh-CN"/>
        </w:rPr>
        <w:t>itime authorities should be encouraged to formulate new traffic rules for MASS and fully consider the conformity of MASS technology development status and rules. For example, the level of autonomy should MASS adopt when anchoring or sailing in and out of p</w:t>
      </w:r>
      <w:r>
        <w:rPr>
          <w:rFonts w:ascii="Calibri" w:eastAsia="SimSun" w:hAnsi="Calibri" w:hint="eastAsia"/>
          <w:lang w:val="en-US" w:eastAsia="zh-CN"/>
        </w:rPr>
        <w:t>ort, the differences of management requirements between traditional ships and MASS, and whether it needs to sail in the exclusive channel, etc.</w:t>
      </w:r>
    </w:p>
    <w:p w14:paraId="0AE5904B" w14:textId="77777777" w:rsidR="00AE4730" w:rsidRDefault="00616CD4">
      <w:pPr>
        <w:pStyle w:val="Heading1"/>
        <w:rPr>
          <w:rFonts w:eastAsia="SimSun"/>
          <w:lang w:val="en-US" w:eastAsia="zh-CN"/>
        </w:rPr>
      </w:pPr>
      <w:r>
        <w:rPr>
          <w:rFonts w:eastAsia="SimSun" w:hint="eastAsia"/>
          <w:lang w:val="en-US" w:eastAsia="zh-CN"/>
        </w:rPr>
        <w:t>summary</w:t>
      </w:r>
    </w:p>
    <w:p w14:paraId="0AE5904C" w14:textId="77777777" w:rsidR="00AE4730" w:rsidRDefault="00616CD4">
      <w:pPr>
        <w:pStyle w:val="ListParagraph"/>
        <w:widowControl w:val="0"/>
        <w:adjustRightInd w:val="0"/>
        <w:snapToGrid w:val="0"/>
        <w:ind w:left="0"/>
        <w:jc w:val="both"/>
        <w:rPr>
          <w:rFonts w:ascii="Calibri" w:eastAsia="SimSun" w:hAnsi="Calibri"/>
          <w:lang w:val="en-US" w:eastAsia="zh-CN"/>
        </w:rPr>
      </w:pPr>
      <w:r>
        <w:rPr>
          <w:rFonts w:ascii="Calibri" w:eastAsia="SimSun" w:hAnsi="Calibri" w:hint="eastAsia"/>
          <w:lang w:val="en-US" w:eastAsia="zh-CN"/>
        </w:rPr>
        <w:t>IMO MSC Circular No. 1638 has defined the management standards involved in different degrees of autonomo</w:t>
      </w:r>
      <w:r>
        <w:rPr>
          <w:rFonts w:ascii="Calibri" w:eastAsia="SimSun" w:hAnsi="Calibri" w:hint="eastAsia"/>
          <w:lang w:val="en-US" w:eastAsia="zh-CN"/>
        </w:rPr>
        <w:t>us vessels. Where MASS related Conventions or rules are concerned, the VTS is directly related to Article 12 of Chapter V of the SOLAS Convention.</w:t>
      </w:r>
      <w:r>
        <w:rPr>
          <w:rFonts w:ascii="Calibri" w:eastAsia="SimSun" w:hAnsi="Calibri" w:hint="eastAsia"/>
          <w:lang w:val="en-US" w:eastAsia="zh-CN"/>
        </w:rPr>
        <w:t xml:space="preserve"> When formulating guidelines or normative documents related to MASS traffic management, VTS, as a member of Ai</w:t>
      </w:r>
      <w:r>
        <w:rPr>
          <w:rFonts w:ascii="Calibri" w:eastAsia="SimSun" w:hAnsi="Calibri" w:hint="eastAsia"/>
          <w:lang w:val="en-US" w:eastAsia="zh-CN"/>
        </w:rPr>
        <w:t>ds to Navigation services provider, VTS should plan the data interaction standard between VTS and MASS through the analysis of MASS in terms of traffic risks, data requirements and technology development when formulating guidelines or normative documents r</w:t>
      </w:r>
      <w:r>
        <w:rPr>
          <w:rFonts w:ascii="Calibri" w:eastAsia="SimSun" w:hAnsi="Calibri" w:hint="eastAsia"/>
          <w:lang w:val="en-US" w:eastAsia="zh-CN"/>
        </w:rPr>
        <w:t>elated to MASS traffic management. Meanwhile, the development of MASS technology should be considered,too. It is also expected to be consistent with the IMO's adjustment of MASS related documents.</w:t>
      </w:r>
    </w:p>
    <w:p w14:paraId="0AE5904D" w14:textId="77777777" w:rsidR="00AE4730" w:rsidRDefault="00616CD4">
      <w:pPr>
        <w:pStyle w:val="Heading1"/>
        <w:rPr>
          <w:rFonts w:eastAsia="SimSun"/>
          <w:lang w:val="en-US" w:eastAsia="zh-CN"/>
        </w:rPr>
      </w:pPr>
      <w:r>
        <w:rPr>
          <w:rFonts w:eastAsia="SimSun" w:hint="eastAsia"/>
          <w:lang w:val="en-US" w:eastAsia="zh-CN"/>
        </w:rPr>
        <w:t>references</w:t>
      </w:r>
    </w:p>
    <w:p w14:paraId="0AE5904E" w14:textId="77777777" w:rsidR="00AE4730" w:rsidRDefault="00616CD4">
      <w:pPr>
        <w:pStyle w:val="References"/>
        <w:rPr>
          <w:rFonts w:ascii="Calibri" w:eastAsia="SimSun" w:hAnsi="Calibri"/>
          <w:szCs w:val="22"/>
          <w:lang w:val="en-US" w:eastAsia="de-DE"/>
        </w:rPr>
      </w:pPr>
      <w:r>
        <w:rPr>
          <w:rFonts w:ascii="Calibri" w:eastAsia="SimSun" w:hAnsi="Calibri" w:hint="eastAsia"/>
          <w:szCs w:val="22"/>
          <w:lang w:val="en-US" w:eastAsia="zh-CN"/>
        </w:rPr>
        <w:t>MSC 104/INF.14 Report on MASS trails,2021(7).</w:t>
      </w:r>
    </w:p>
    <w:p w14:paraId="0AE5904F" w14:textId="77777777" w:rsidR="00AE4730" w:rsidRDefault="00616CD4">
      <w:pPr>
        <w:pStyle w:val="References"/>
        <w:rPr>
          <w:rFonts w:ascii="Calibri" w:eastAsia="SimSun" w:hAnsi="Calibri"/>
          <w:szCs w:val="22"/>
          <w:lang w:val="en-US" w:eastAsia="zh-CN"/>
        </w:rPr>
      </w:pPr>
      <w:r>
        <w:rPr>
          <w:rFonts w:ascii="Calibri" w:eastAsia="SimSun" w:hAnsi="Calibri" w:hint="eastAsia"/>
          <w:szCs w:val="22"/>
          <w:lang w:val="en-US" w:eastAsia="zh-CN"/>
        </w:rPr>
        <w:t>IMO MSC.1/Circ.1638-Results of work defined by rules for the application of autonomous surface ships at sea,2021(6).</w:t>
      </w:r>
    </w:p>
    <w:p w14:paraId="0AE59050" w14:textId="77777777" w:rsidR="00AE4730" w:rsidRDefault="00616CD4">
      <w:pPr>
        <w:pStyle w:val="References"/>
        <w:rPr>
          <w:rFonts w:ascii="Calibri" w:eastAsia="SimSun" w:hAnsi="Calibri"/>
          <w:szCs w:val="22"/>
          <w:lang w:val="en-US" w:eastAsia="de-DE"/>
        </w:rPr>
      </w:pPr>
      <w:r>
        <w:rPr>
          <w:rFonts w:ascii="Calibri" w:eastAsia="SimSun" w:hAnsi="Calibri" w:hint="eastAsia"/>
          <w:szCs w:val="22"/>
          <w:lang w:val="en-US" w:eastAsia="zh-CN"/>
        </w:rPr>
        <w:t>DNV official website,Source:http://www.dnvgl.com/technology innovation/revolt/index.html</w:t>
      </w:r>
    </w:p>
    <w:p w14:paraId="0AE59051" w14:textId="77777777" w:rsidR="00AE4730" w:rsidRDefault="00616CD4">
      <w:pPr>
        <w:pStyle w:val="References"/>
        <w:rPr>
          <w:rFonts w:ascii="Calibri" w:eastAsia="SimSun" w:hAnsi="Calibri"/>
          <w:szCs w:val="22"/>
          <w:lang w:val="en-US" w:eastAsia="de-DE"/>
        </w:rPr>
      </w:pPr>
      <w:r>
        <w:rPr>
          <w:rFonts w:ascii="Calibri" w:eastAsia="SimSun" w:hAnsi="Calibri" w:hint="eastAsia"/>
          <w:szCs w:val="22"/>
          <w:lang w:val="en-US" w:eastAsia="zh-CN"/>
        </w:rPr>
        <w:t>ROLLS ROYCE official website,Source:https://www.ro</w:t>
      </w:r>
      <w:r>
        <w:rPr>
          <w:rFonts w:ascii="Calibri" w:eastAsia="SimSun" w:hAnsi="Calibri" w:hint="eastAsia"/>
          <w:szCs w:val="22"/>
          <w:lang w:val="en-US" w:eastAsia="zh-CN"/>
        </w:rPr>
        <w:t>lls</w:t>
      </w:r>
      <w:r>
        <w:rPr>
          <w:rFonts w:ascii="Calibri" w:eastAsia="SimSun" w:hAnsi="Calibri"/>
          <w:szCs w:val="22"/>
          <w:lang w:val="en-US" w:eastAsia="zh-CN"/>
        </w:rPr>
        <w:t>royce.com/media/press-releases/2018/03-12-2018-rr-and-finferries-demonstrateworlds-first-fully-autonomous-ferry.aspx</w:t>
      </w:r>
    </w:p>
    <w:p w14:paraId="0AE59052" w14:textId="77777777" w:rsidR="00AE4730" w:rsidRDefault="00616CD4">
      <w:pPr>
        <w:pStyle w:val="Heading1"/>
        <w:rPr>
          <w:rFonts w:eastAsia="SimSun"/>
          <w:lang w:val="en-US" w:eastAsia="zh-CN"/>
        </w:rPr>
      </w:pPr>
      <w:r>
        <w:rPr>
          <w:rFonts w:eastAsia="SimSun" w:hint="eastAsia"/>
          <w:lang w:val="en-US" w:eastAsia="zh-CN"/>
        </w:rPr>
        <w:t xml:space="preserve">Action to be taken by the Commission </w:t>
      </w:r>
    </w:p>
    <w:p w14:paraId="0AE59053" w14:textId="77777777" w:rsidR="00AE4730" w:rsidRDefault="00616CD4">
      <w:pPr>
        <w:widowControl w:val="0"/>
        <w:adjustRightInd w:val="0"/>
        <w:snapToGrid w:val="0"/>
        <w:rPr>
          <w:rFonts w:ascii="Calibri" w:eastAsia="SimSun" w:hAnsi="Calibri"/>
          <w:lang w:val="en-US" w:eastAsia="zh-CN"/>
        </w:rPr>
      </w:pPr>
      <w:r>
        <w:rPr>
          <w:rFonts w:ascii="Calibri" w:eastAsia="SimSun" w:hAnsi="Calibri" w:hint="eastAsia"/>
          <w:lang w:val="en-US" w:eastAsia="zh-CN"/>
        </w:rPr>
        <w:t>These views need to be considered by the VTS Committee when discussing MASS management matters, es</w:t>
      </w:r>
      <w:r>
        <w:rPr>
          <w:rFonts w:ascii="Calibri" w:eastAsia="SimSun" w:hAnsi="Calibri" w:hint="eastAsia"/>
          <w:lang w:val="en-US" w:eastAsia="zh-CN"/>
        </w:rPr>
        <w:t>pecially</w:t>
      </w:r>
    </w:p>
    <w:p w14:paraId="0AE59054" w14:textId="77777777" w:rsidR="00AE4730" w:rsidRDefault="00616CD4">
      <w:pPr>
        <w:pStyle w:val="List1"/>
        <w:rPr>
          <w:rFonts w:ascii="Calibri" w:hAnsi="Calibri"/>
        </w:rPr>
      </w:pPr>
      <w:r>
        <w:rPr>
          <w:rFonts w:ascii="Calibri" w:eastAsia="SimSun" w:hAnsi="Calibri" w:hint="eastAsia"/>
          <w:lang w:val="en-US" w:eastAsia="zh-CN"/>
        </w:rPr>
        <w:t>Note the influence  of MASS on vessel traffic management rules in Section 2,3, and 4.</w:t>
      </w:r>
    </w:p>
    <w:p w14:paraId="0AE59055" w14:textId="77777777" w:rsidR="00AE4730" w:rsidRDefault="00616CD4">
      <w:pPr>
        <w:pStyle w:val="List1"/>
        <w:rPr>
          <w:rFonts w:ascii="Calibri" w:eastAsia="SimSun" w:hAnsi="Calibri"/>
          <w:lang w:val="en-US" w:eastAsia="zh-CN"/>
        </w:rPr>
      </w:pPr>
      <w:r>
        <w:rPr>
          <w:rFonts w:ascii="Calibri" w:eastAsia="SimSun" w:hAnsi="Calibri" w:hint="eastAsia"/>
          <w:lang w:val="en-US" w:eastAsia="zh-CN"/>
        </w:rPr>
        <w:t>Note the gaps between the data interaction requirements of Section 3 and current technological developments of MASS.</w:t>
      </w:r>
    </w:p>
    <w:p w14:paraId="0AE59056" w14:textId="77777777" w:rsidR="00AE4730" w:rsidRDefault="00616CD4">
      <w:pPr>
        <w:rPr>
          <w:rFonts w:eastAsia="SimSun"/>
          <w:b/>
          <w:caps/>
          <w:color w:val="0070C0"/>
          <w:kern w:val="28"/>
          <w:sz w:val="24"/>
          <w:lang w:val="en-US" w:eastAsia="zh-CN"/>
        </w:rPr>
      </w:pPr>
      <w:r>
        <w:rPr>
          <w:rFonts w:eastAsia="SimSun" w:hint="eastAsia"/>
          <w:b/>
          <w:caps/>
          <w:color w:val="0070C0"/>
          <w:kern w:val="28"/>
          <w:sz w:val="24"/>
          <w:lang w:val="en-US" w:eastAsia="zh-CN"/>
        </w:rPr>
        <w:br w:type="page"/>
      </w:r>
    </w:p>
    <w:p w14:paraId="0AE59057" w14:textId="77777777" w:rsidR="00AE4730" w:rsidRDefault="00616CD4">
      <w:pPr>
        <w:pStyle w:val="Heading1"/>
        <w:numPr>
          <w:ilvl w:val="0"/>
          <w:numId w:val="0"/>
        </w:numPr>
        <w:rPr>
          <w:rFonts w:eastAsia="SimSun"/>
          <w:lang w:val="en-US" w:eastAsia="zh-CN"/>
        </w:rPr>
      </w:pPr>
      <w:r>
        <w:rPr>
          <w:rFonts w:eastAsia="SimSun" w:hint="eastAsia"/>
          <w:lang w:val="en-US" w:eastAsia="zh-CN"/>
        </w:rPr>
        <w:lastRenderedPageBreak/>
        <w:t>Appendix 1</w:t>
      </w:r>
    </w:p>
    <w:p w14:paraId="0AE59058" w14:textId="77777777" w:rsidR="00AE4730" w:rsidRDefault="00616CD4">
      <w:pPr>
        <w:ind w:firstLineChars="200" w:firstLine="420"/>
        <w:jc w:val="center"/>
        <w:rPr>
          <w:i/>
          <w:iCs/>
          <w:sz w:val="21"/>
          <w:szCs w:val="21"/>
          <w:lang w:val="en-US" w:eastAsia="zh-CN"/>
        </w:rPr>
      </w:pPr>
      <w:r>
        <w:rPr>
          <w:rFonts w:hint="eastAsia"/>
          <w:i/>
          <w:iCs/>
          <w:sz w:val="21"/>
          <w:szCs w:val="21"/>
          <w:lang w:val="en-US" w:eastAsia="zh-CN"/>
        </w:rPr>
        <w:t xml:space="preserve">Table 1-MASS operating </w:t>
      </w:r>
      <w:r>
        <w:rPr>
          <w:rFonts w:hint="eastAsia"/>
          <w:i/>
          <w:iCs/>
          <w:sz w:val="21"/>
          <w:szCs w:val="21"/>
          <w:lang w:val="en-US" w:eastAsia="zh-CN"/>
        </w:rPr>
        <w:t>characteristics with different degrees of autonomy</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139"/>
        <w:gridCol w:w="1289"/>
        <w:gridCol w:w="1425"/>
        <w:gridCol w:w="2598"/>
      </w:tblGrid>
      <w:tr w:rsidR="00AE4730" w14:paraId="0AE5905E" w14:textId="77777777">
        <w:trPr>
          <w:jc w:val="center"/>
        </w:trPr>
        <w:tc>
          <w:tcPr>
            <w:tcW w:w="1716" w:type="dxa"/>
          </w:tcPr>
          <w:p w14:paraId="0AE59059" w14:textId="77777777" w:rsidR="00AE4730" w:rsidRDefault="00616CD4">
            <w:pPr>
              <w:jc w:val="center"/>
              <w:rPr>
                <w:sz w:val="21"/>
                <w:szCs w:val="21"/>
                <w:lang w:val="en-US" w:eastAsia="zh-CN"/>
              </w:rPr>
            </w:pPr>
            <w:r>
              <w:rPr>
                <w:rFonts w:hint="eastAsia"/>
                <w:sz w:val="21"/>
                <w:szCs w:val="21"/>
                <w:lang w:val="en-US" w:eastAsia="zh-CN"/>
              </w:rPr>
              <w:t>Degree of autonomy</w:t>
            </w:r>
          </w:p>
        </w:tc>
        <w:tc>
          <w:tcPr>
            <w:tcW w:w="1139" w:type="dxa"/>
          </w:tcPr>
          <w:p w14:paraId="0AE5905A" w14:textId="77777777" w:rsidR="00AE4730" w:rsidRDefault="00616CD4">
            <w:pPr>
              <w:rPr>
                <w:sz w:val="21"/>
                <w:szCs w:val="21"/>
                <w:lang w:val="en-US" w:eastAsia="zh-CN"/>
              </w:rPr>
            </w:pPr>
            <w:r>
              <w:rPr>
                <w:rFonts w:hint="eastAsia"/>
                <w:sz w:val="21"/>
                <w:szCs w:val="21"/>
                <w:lang w:val="en-US" w:eastAsia="zh-CN"/>
              </w:rPr>
              <w:t xml:space="preserve">Crew on board </w:t>
            </w:r>
          </w:p>
        </w:tc>
        <w:tc>
          <w:tcPr>
            <w:tcW w:w="1289" w:type="dxa"/>
          </w:tcPr>
          <w:p w14:paraId="0AE5905B" w14:textId="77777777" w:rsidR="00AE4730" w:rsidRDefault="00616CD4">
            <w:pPr>
              <w:rPr>
                <w:sz w:val="21"/>
                <w:szCs w:val="21"/>
                <w:lang w:val="en-US" w:eastAsia="zh-CN"/>
              </w:rPr>
            </w:pPr>
            <w:r>
              <w:rPr>
                <w:rFonts w:hint="eastAsia"/>
                <w:sz w:val="21"/>
                <w:szCs w:val="21"/>
                <w:lang w:val="en-US" w:eastAsia="zh-CN"/>
              </w:rPr>
              <w:t>Degree of integration</w:t>
            </w:r>
          </w:p>
        </w:tc>
        <w:tc>
          <w:tcPr>
            <w:tcW w:w="1425" w:type="dxa"/>
          </w:tcPr>
          <w:p w14:paraId="0AE5905C" w14:textId="77777777" w:rsidR="00AE4730" w:rsidRDefault="00616CD4">
            <w:pPr>
              <w:rPr>
                <w:sz w:val="21"/>
                <w:szCs w:val="21"/>
                <w:lang w:val="en-US" w:eastAsia="zh-CN"/>
              </w:rPr>
            </w:pPr>
            <w:r>
              <w:rPr>
                <w:rFonts w:hint="eastAsia"/>
                <w:sz w:val="21"/>
                <w:szCs w:val="21"/>
                <w:lang w:val="en-US" w:eastAsia="zh-CN"/>
              </w:rPr>
              <w:t>Contingency procedure</w:t>
            </w:r>
          </w:p>
        </w:tc>
        <w:tc>
          <w:tcPr>
            <w:tcW w:w="2598" w:type="dxa"/>
          </w:tcPr>
          <w:p w14:paraId="0AE5905D" w14:textId="77777777" w:rsidR="00AE4730" w:rsidRDefault="00616CD4">
            <w:pPr>
              <w:rPr>
                <w:sz w:val="21"/>
                <w:szCs w:val="21"/>
                <w:lang w:val="en-US" w:eastAsia="zh-CN"/>
              </w:rPr>
            </w:pPr>
            <w:r>
              <w:rPr>
                <w:rFonts w:hint="eastAsia"/>
                <w:sz w:val="21"/>
                <w:szCs w:val="21"/>
                <w:lang w:val="en-US" w:eastAsia="zh-CN"/>
              </w:rPr>
              <w:t>Dependence on ship-shore data transmission</w:t>
            </w:r>
          </w:p>
        </w:tc>
      </w:tr>
      <w:tr w:rsidR="00AE4730" w14:paraId="0AE59064" w14:textId="77777777">
        <w:trPr>
          <w:jc w:val="center"/>
        </w:trPr>
        <w:tc>
          <w:tcPr>
            <w:tcW w:w="1716" w:type="dxa"/>
          </w:tcPr>
          <w:p w14:paraId="0AE5905F" w14:textId="77777777" w:rsidR="00AE4730" w:rsidRDefault="00616CD4">
            <w:pPr>
              <w:jc w:val="center"/>
              <w:rPr>
                <w:sz w:val="21"/>
                <w:szCs w:val="21"/>
                <w:lang w:val="en-US" w:eastAsia="zh-CN"/>
              </w:rPr>
            </w:pPr>
            <w:r>
              <w:rPr>
                <w:rFonts w:hint="eastAsia"/>
                <w:sz w:val="21"/>
                <w:szCs w:val="21"/>
                <w:lang w:val="en-US" w:eastAsia="zh-CN"/>
              </w:rPr>
              <w:t>Degree1</w:t>
            </w:r>
          </w:p>
        </w:tc>
        <w:tc>
          <w:tcPr>
            <w:tcW w:w="1139" w:type="dxa"/>
          </w:tcPr>
          <w:p w14:paraId="0AE59060" w14:textId="77777777" w:rsidR="00AE4730" w:rsidRDefault="00616CD4">
            <w:pPr>
              <w:jc w:val="center"/>
              <w:rPr>
                <w:sz w:val="21"/>
                <w:szCs w:val="21"/>
                <w:lang w:val="en-US" w:eastAsia="zh-CN"/>
              </w:rPr>
            </w:pPr>
            <w:r>
              <w:rPr>
                <w:rFonts w:hint="eastAsia"/>
                <w:sz w:val="21"/>
                <w:szCs w:val="21"/>
                <w:lang w:val="en-US" w:eastAsia="zh-CN"/>
              </w:rPr>
              <w:t>More</w:t>
            </w:r>
          </w:p>
        </w:tc>
        <w:tc>
          <w:tcPr>
            <w:tcW w:w="1289" w:type="dxa"/>
          </w:tcPr>
          <w:p w14:paraId="0AE59061" w14:textId="77777777" w:rsidR="00AE4730" w:rsidRDefault="00616CD4">
            <w:pPr>
              <w:jc w:val="center"/>
              <w:rPr>
                <w:sz w:val="21"/>
                <w:szCs w:val="21"/>
                <w:lang w:val="en-US" w:eastAsia="zh-CN"/>
              </w:rPr>
            </w:pPr>
            <w:r>
              <w:rPr>
                <w:rFonts w:hint="eastAsia"/>
                <w:sz w:val="21"/>
                <w:szCs w:val="21"/>
                <w:lang w:val="en-US" w:eastAsia="zh-CN"/>
              </w:rPr>
              <w:t>Low</w:t>
            </w:r>
          </w:p>
        </w:tc>
        <w:tc>
          <w:tcPr>
            <w:tcW w:w="1425" w:type="dxa"/>
          </w:tcPr>
          <w:p w14:paraId="0AE59062" w14:textId="77777777" w:rsidR="00AE4730" w:rsidRDefault="00616CD4">
            <w:pPr>
              <w:jc w:val="center"/>
              <w:rPr>
                <w:sz w:val="21"/>
                <w:szCs w:val="21"/>
                <w:lang w:val="en-US" w:eastAsia="zh-CN"/>
              </w:rPr>
            </w:pPr>
            <w:r>
              <w:rPr>
                <w:rFonts w:hint="eastAsia"/>
                <w:sz w:val="21"/>
                <w:szCs w:val="21"/>
                <w:lang w:val="en-US" w:eastAsia="zh-CN"/>
              </w:rPr>
              <w:t>Simple</w:t>
            </w:r>
          </w:p>
        </w:tc>
        <w:tc>
          <w:tcPr>
            <w:tcW w:w="2598" w:type="dxa"/>
          </w:tcPr>
          <w:p w14:paraId="0AE59063" w14:textId="77777777" w:rsidR="00AE4730" w:rsidRDefault="00616CD4">
            <w:pPr>
              <w:jc w:val="center"/>
              <w:rPr>
                <w:sz w:val="21"/>
                <w:szCs w:val="21"/>
                <w:lang w:val="en-US" w:eastAsia="zh-CN"/>
              </w:rPr>
            </w:pPr>
            <w:r>
              <w:rPr>
                <w:rFonts w:hint="eastAsia"/>
                <w:sz w:val="21"/>
                <w:szCs w:val="21"/>
                <w:lang w:val="en-US" w:eastAsia="zh-CN"/>
              </w:rPr>
              <w:t>Low</w:t>
            </w:r>
          </w:p>
        </w:tc>
      </w:tr>
      <w:tr w:rsidR="00AE4730" w14:paraId="0AE5906A" w14:textId="77777777">
        <w:trPr>
          <w:jc w:val="center"/>
        </w:trPr>
        <w:tc>
          <w:tcPr>
            <w:tcW w:w="1716" w:type="dxa"/>
          </w:tcPr>
          <w:p w14:paraId="0AE59065" w14:textId="77777777" w:rsidR="00AE4730" w:rsidRDefault="00616CD4">
            <w:pPr>
              <w:jc w:val="center"/>
              <w:rPr>
                <w:sz w:val="21"/>
                <w:szCs w:val="21"/>
                <w:lang w:val="en-US" w:eastAsia="zh-CN"/>
              </w:rPr>
            </w:pPr>
            <w:r>
              <w:rPr>
                <w:rFonts w:hint="eastAsia"/>
                <w:sz w:val="21"/>
                <w:szCs w:val="21"/>
                <w:lang w:val="en-US" w:eastAsia="zh-CN"/>
              </w:rPr>
              <w:t>Degree2</w:t>
            </w:r>
          </w:p>
        </w:tc>
        <w:tc>
          <w:tcPr>
            <w:tcW w:w="1139" w:type="dxa"/>
          </w:tcPr>
          <w:p w14:paraId="0AE59066" w14:textId="77777777" w:rsidR="00AE4730" w:rsidRDefault="00616CD4">
            <w:pPr>
              <w:jc w:val="center"/>
              <w:rPr>
                <w:sz w:val="21"/>
                <w:szCs w:val="21"/>
                <w:lang w:val="en-US" w:eastAsia="zh-CN"/>
              </w:rPr>
            </w:pPr>
            <w:r>
              <w:rPr>
                <w:rFonts w:hint="eastAsia"/>
                <w:sz w:val="21"/>
                <w:szCs w:val="21"/>
                <w:lang w:val="en-US" w:eastAsia="zh-CN"/>
              </w:rPr>
              <w:t>Few</w:t>
            </w:r>
          </w:p>
        </w:tc>
        <w:tc>
          <w:tcPr>
            <w:tcW w:w="1289" w:type="dxa"/>
          </w:tcPr>
          <w:p w14:paraId="0AE59067" w14:textId="77777777" w:rsidR="00AE4730" w:rsidRDefault="00616CD4">
            <w:pPr>
              <w:jc w:val="center"/>
              <w:rPr>
                <w:sz w:val="21"/>
                <w:szCs w:val="21"/>
                <w:lang w:val="en-US" w:eastAsia="zh-CN"/>
              </w:rPr>
            </w:pPr>
            <w:r>
              <w:rPr>
                <w:rFonts w:ascii="Calibri" w:eastAsia="SimSun" w:hAnsi="Calibri" w:hint="eastAsia"/>
                <w:lang w:val="en-US" w:eastAsia="zh-CN"/>
              </w:rPr>
              <w:t>Medium</w:t>
            </w:r>
          </w:p>
        </w:tc>
        <w:tc>
          <w:tcPr>
            <w:tcW w:w="1425" w:type="dxa"/>
          </w:tcPr>
          <w:p w14:paraId="0AE59068" w14:textId="77777777" w:rsidR="00AE4730" w:rsidRDefault="00616CD4">
            <w:pPr>
              <w:jc w:val="center"/>
              <w:rPr>
                <w:sz w:val="21"/>
                <w:szCs w:val="21"/>
                <w:lang w:val="en-US" w:eastAsia="zh-CN"/>
              </w:rPr>
            </w:pPr>
            <w:r>
              <w:rPr>
                <w:rFonts w:hint="eastAsia"/>
                <w:sz w:val="21"/>
                <w:szCs w:val="21"/>
                <w:lang w:val="en-US" w:eastAsia="zh-CN"/>
              </w:rPr>
              <w:t>General</w:t>
            </w:r>
          </w:p>
        </w:tc>
        <w:tc>
          <w:tcPr>
            <w:tcW w:w="2598" w:type="dxa"/>
          </w:tcPr>
          <w:p w14:paraId="0AE59069" w14:textId="77777777" w:rsidR="00AE4730" w:rsidRDefault="00616CD4">
            <w:pPr>
              <w:jc w:val="center"/>
              <w:rPr>
                <w:sz w:val="21"/>
                <w:szCs w:val="21"/>
                <w:lang w:val="en-US" w:eastAsia="zh-CN"/>
              </w:rPr>
            </w:pPr>
            <w:r>
              <w:rPr>
                <w:rFonts w:ascii="Calibri" w:eastAsia="SimSun" w:hAnsi="Calibri" w:hint="eastAsia"/>
                <w:lang w:val="en-US" w:eastAsia="zh-CN"/>
              </w:rPr>
              <w:t>Medium</w:t>
            </w:r>
          </w:p>
        </w:tc>
      </w:tr>
      <w:tr w:rsidR="00AE4730" w14:paraId="0AE59070" w14:textId="77777777">
        <w:trPr>
          <w:jc w:val="center"/>
        </w:trPr>
        <w:tc>
          <w:tcPr>
            <w:tcW w:w="1716" w:type="dxa"/>
          </w:tcPr>
          <w:p w14:paraId="0AE5906B" w14:textId="77777777" w:rsidR="00AE4730" w:rsidRDefault="00616CD4">
            <w:pPr>
              <w:jc w:val="center"/>
              <w:rPr>
                <w:sz w:val="21"/>
                <w:szCs w:val="21"/>
                <w:lang w:val="en-US" w:eastAsia="zh-CN"/>
              </w:rPr>
            </w:pPr>
            <w:r>
              <w:rPr>
                <w:rFonts w:hint="eastAsia"/>
                <w:sz w:val="21"/>
                <w:szCs w:val="21"/>
                <w:lang w:val="en-US" w:eastAsia="zh-CN"/>
              </w:rPr>
              <w:t>Degree3</w:t>
            </w:r>
          </w:p>
        </w:tc>
        <w:tc>
          <w:tcPr>
            <w:tcW w:w="1139" w:type="dxa"/>
          </w:tcPr>
          <w:p w14:paraId="0AE5906C" w14:textId="77777777" w:rsidR="00AE4730" w:rsidRDefault="00616CD4">
            <w:pPr>
              <w:jc w:val="center"/>
              <w:rPr>
                <w:sz w:val="21"/>
                <w:szCs w:val="21"/>
                <w:lang w:val="en-US" w:eastAsia="zh-CN"/>
              </w:rPr>
            </w:pPr>
            <w:r>
              <w:rPr>
                <w:rFonts w:hint="eastAsia"/>
                <w:sz w:val="21"/>
                <w:szCs w:val="21"/>
                <w:lang w:val="en-US" w:eastAsia="zh-CN"/>
              </w:rPr>
              <w:t>None</w:t>
            </w:r>
          </w:p>
        </w:tc>
        <w:tc>
          <w:tcPr>
            <w:tcW w:w="1289" w:type="dxa"/>
          </w:tcPr>
          <w:p w14:paraId="0AE5906D" w14:textId="77777777" w:rsidR="00AE4730" w:rsidRDefault="00616CD4">
            <w:pPr>
              <w:jc w:val="center"/>
              <w:rPr>
                <w:sz w:val="21"/>
                <w:szCs w:val="21"/>
                <w:lang w:val="en-US" w:eastAsia="zh-CN"/>
              </w:rPr>
            </w:pPr>
            <w:r>
              <w:rPr>
                <w:rFonts w:hint="eastAsia"/>
                <w:sz w:val="21"/>
                <w:szCs w:val="21"/>
                <w:lang w:val="en-US" w:eastAsia="zh-CN"/>
              </w:rPr>
              <w:t>Fair</w:t>
            </w:r>
          </w:p>
        </w:tc>
        <w:tc>
          <w:tcPr>
            <w:tcW w:w="1425" w:type="dxa"/>
          </w:tcPr>
          <w:p w14:paraId="0AE5906E" w14:textId="77777777" w:rsidR="00AE4730" w:rsidRDefault="00616CD4">
            <w:pPr>
              <w:jc w:val="center"/>
              <w:rPr>
                <w:sz w:val="21"/>
                <w:szCs w:val="21"/>
                <w:lang w:val="en-US" w:eastAsia="zh-CN"/>
              </w:rPr>
            </w:pPr>
            <w:r>
              <w:rPr>
                <w:rFonts w:hint="eastAsia"/>
                <w:sz w:val="21"/>
                <w:szCs w:val="21"/>
                <w:lang w:val="en-US" w:eastAsia="zh-CN"/>
              </w:rPr>
              <w:t>Fairly complicated</w:t>
            </w:r>
          </w:p>
        </w:tc>
        <w:tc>
          <w:tcPr>
            <w:tcW w:w="2598" w:type="dxa"/>
          </w:tcPr>
          <w:p w14:paraId="0AE5906F" w14:textId="77777777" w:rsidR="00AE4730" w:rsidRDefault="00616CD4">
            <w:pPr>
              <w:jc w:val="center"/>
              <w:rPr>
                <w:sz w:val="21"/>
                <w:szCs w:val="21"/>
                <w:lang w:val="en-US" w:eastAsia="zh-CN"/>
              </w:rPr>
            </w:pPr>
            <w:r>
              <w:rPr>
                <w:rFonts w:hint="eastAsia"/>
                <w:sz w:val="21"/>
                <w:szCs w:val="21"/>
                <w:lang w:val="en-US" w:eastAsia="zh-CN"/>
              </w:rPr>
              <w:t>Fairly High</w:t>
            </w:r>
          </w:p>
        </w:tc>
      </w:tr>
      <w:tr w:rsidR="00AE4730" w14:paraId="0AE59076" w14:textId="77777777">
        <w:trPr>
          <w:jc w:val="center"/>
        </w:trPr>
        <w:tc>
          <w:tcPr>
            <w:tcW w:w="1716" w:type="dxa"/>
          </w:tcPr>
          <w:p w14:paraId="0AE59071" w14:textId="77777777" w:rsidR="00AE4730" w:rsidRDefault="00616CD4">
            <w:pPr>
              <w:jc w:val="center"/>
              <w:rPr>
                <w:sz w:val="21"/>
                <w:szCs w:val="21"/>
                <w:lang w:val="en-US" w:eastAsia="zh-CN"/>
              </w:rPr>
            </w:pPr>
            <w:r>
              <w:rPr>
                <w:rFonts w:hint="eastAsia"/>
                <w:sz w:val="21"/>
                <w:szCs w:val="21"/>
                <w:lang w:val="en-US" w:eastAsia="zh-CN"/>
              </w:rPr>
              <w:t>Degree4</w:t>
            </w:r>
          </w:p>
        </w:tc>
        <w:tc>
          <w:tcPr>
            <w:tcW w:w="1139" w:type="dxa"/>
          </w:tcPr>
          <w:p w14:paraId="0AE59072" w14:textId="77777777" w:rsidR="00AE4730" w:rsidRDefault="00616CD4">
            <w:pPr>
              <w:jc w:val="center"/>
              <w:rPr>
                <w:sz w:val="21"/>
                <w:szCs w:val="21"/>
                <w:lang w:val="en-US" w:eastAsia="zh-CN"/>
              </w:rPr>
            </w:pPr>
            <w:r>
              <w:rPr>
                <w:rFonts w:hint="eastAsia"/>
                <w:sz w:val="21"/>
                <w:szCs w:val="21"/>
                <w:lang w:val="en-US" w:eastAsia="zh-CN"/>
              </w:rPr>
              <w:t>None</w:t>
            </w:r>
          </w:p>
        </w:tc>
        <w:tc>
          <w:tcPr>
            <w:tcW w:w="1289" w:type="dxa"/>
          </w:tcPr>
          <w:p w14:paraId="0AE59073" w14:textId="77777777" w:rsidR="00AE4730" w:rsidRDefault="00616CD4">
            <w:pPr>
              <w:jc w:val="center"/>
              <w:rPr>
                <w:sz w:val="21"/>
                <w:szCs w:val="21"/>
                <w:lang w:val="en-US" w:eastAsia="zh-CN"/>
              </w:rPr>
            </w:pPr>
            <w:r>
              <w:rPr>
                <w:rFonts w:hint="eastAsia"/>
                <w:sz w:val="21"/>
                <w:szCs w:val="21"/>
                <w:lang w:val="en-US" w:eastAsia="zh-CN"/>
              </w:rPr>
              <w:t>Good</w:t>
            </w:r>
          </w:p>
        </w:tc>
        <w:tc>
          <w:tcPr>
            <w:tcW w:w="1425" w:type="dxa"/>
          </w:tcPr>
          <w:p w14:paraId="0AE59074" w14:textId="77777777" w:rsidR="00AE4730" w:rsidRDefault="00616CD4">
            <w:pPr>
              <w:jc w:val="center"/>
              <w:rPr>
                <w:sz w:val="21"/>
                <w:szCs w:val="21"/>
                <w:lang w:val="en-US" w:eastAsia="zh-CN"/>
              </w:rPr>
            </w:pPr>
            <w:r>
              <w:rPr>
                <w:rFonts w:hint="eastAsia"/>
                <w:sz w:val="21"/>
                <w:szCs w:val="21"/>
                <w:lang w:val="en-US" w:eastAsia="zh-CN"/>
              </w:rPr>
              <w:t>Complicated</w:t>
            </w:r>
          </w:p>
        </w:tc>
        <w:tc>
          <w:tcPr>
            <w:tcW w:w="2598" w:type="dxa"/>
          </w:tcPr>
          <w:p w14:paraId="0AE59075" w14:textId="77777777" w:rsidR="00AE4730" w:rsidRDefault="00616CD4">
            <w:pPr>
              <w:jc w:val="center"/>
              <w:rPr>
                <w:sz w:val="21"/>
                <w:szCs w:val="21"/>
                <w:lang w:val="en-US" w:eastAsia="zh-CN"/>
              </w:rPr>
            </w:pPr>
            <w:r>
              <w:rPr>
                <w:rFonts w:hint="eastAsia"/>
                <w:sz w:val="21"/>
                <w:szCs w:val="21"/>
                <w:lang w:val="en-US" w:eastAsia="zh-CN"/>
              </w:rPr>
              <w:t>High</w:t>
            </w:r>
          </w:p>
        </w:tc>
      </w:tr>
    </w:tbl>
    <w:p w14:paraId="0AE59077" w14:textId="77777777" w:rsidR="00AE4730" w:rsidRDefault="00616CD4">
      <w:pPr>
        <w:rPr>
          <w:rFonts w:eastAsia="SimSun"/>
          <w:b/>
          <w:caps/>
          <w:color w:val="0070C0"/>
          <w:kern w:val="28"/>
          <w:sz w:val="24"/>
          <w:lang w:val="en-US" w:eastAsia="zh-CN"/>
        </w:rPr>
      </w:pPr>
      <w:r>
        <w:rPr>
          <w:rFonts w:eastAsia="SimSun" w:hint="eastAsia"/>
          <w:b/>
          <w:caps/>
          <w:color w:val="0070C0"/>
          <w:kern w:val="28"/>
          <w:sz w:val="24"/>
          <w:lang w:val="en-US" w:eastAsia="zh-CN"/>
        </w:rPr>
        <w:br w:type="page"/>
      </w:r>
    </w:p>
    <w:p w14:paraId="0AE59078" w14:textId="77777777" w:rsidR="00AE4730" w:rsidRDefault="00616CD4">
      <w:pPr>
        <w:pStyle w:val="Heading1"/>
        <w:numPr>
          <w:ilvl w:val="0"/>
          <w:numId w:val="0"/>
        </w:numPr>
        <w:adjustRightInd w:val="0"/>
        <w:snapToGrid w:val="0"/>
        <w:rPr>
          <w:rFonts w:eastAsia="SimSun"/>
          <w:lang w:val="en-US" w:eastAsia="zh-CN"/>
        </w:rPr>
      </w:pPr>
      <w:r>
        <w:rPr>
          <w:rFonts w:eastAsia="SimSun" w:hint="eastAsia"/>
          <w:lang w:val="en-US" w:eastAsia="zh-CN"/>
        </w:rPr>
        <w:lastRenderedPageBreak/>
        <w:t>Appendix 2</w:t>
      </w:r>
      <w:r>
        <w:rPr>
          <w:rFonts w:eastAsia="SimSun" w:hint="eastAsia"/>
          <w:lang w:val="en-US" w:eastAsia="zh-CN"/>
        </w:rPr>
        <w:tab/>
        <w:t>MASS traffic risk analysis</w:t>
      </w:r>
    </w:p>
    <w:p w14:paraId="0AE59079" w14:textId="77777777" w:rsidR="00AE4730" w:rsidRDefault="00616CD4">
      <w:pPr>
        <w:pStyle w:val="BodyText"/>
        <w:rPr>
          <w:rFonts w:ascii="Calibri" w:eastAsia="SimSun" w:hAnsi="Calibri"/>
          <w:lang w:val="en-US" w:eastAsia="zh-CN"/>
        </w:rPr>
      </w:pPr>
      <w:r>
        <w:rPr>
          <w:rFonts w:ascii="Calibri" w:eastAsia="SimSun" w:hAnsi="Calibri"/>
          <w:lang w:val="en-US" w:eastAsia="zh-CN"/>
        </w:rPr>
        <w:t xml:space="preserve">Excluding meteorological, hydrological and other dynamic environmental factors in sea areas with different offshore distances, and only considering the complexity of ship equipment, the </w:t>
      </w:r>
      <w:r>
        <w:rPr>
          <w:rFonts w:ascii="Calibri" w:eastAsia="SimSun" w:hAnsi="Calibri" w:hint="eastAsia"/>
          <w:lang w:val="en-US" w:eastAsia="zh-CN"/>
        </w:rPr>
        <w:t>crew number on board</w:t>
      </w:r>
      <w:r>
        <w:rPr>
          <w:rFonts w:ascii="Calibri" w:eastAsia="SimSun" w:hAnsi="Calibri"/>
          <w:lang w:val="en-US" w:eastAsia="zh-CN"/>
        </w:rPr>
        <w:t xml:space="preserve"> and the traffic density nearby, the risk assignme</w:t>
      </w:r>
      <w:r>
        <w:rPr>
          <w:rFonts w:ascii="Calibri" w:eastAsia="SimSun" w:hAnsi="Calibri"/>
          <w:lang w:val="en-US" w:eastAsia="zh-CN"/>
        </w:rPr>
        <w:t xml:space="preserve">nt analysis </w:t>
      </w:r>
      <w:r>
        <w:rPr>
          <w:rFonts w:ascii="Calibri" w:eastAsia="SimSun" w:hAnsi="Calibri" w:hint="eastAsia"/>
          <w:lang w:val="en-US" w:eastAsia="zh-CN"/>
        </w:rPr>
        <w:t>i</w:t>
      </w:r>
      <w:r>
        <w:rPr>
          <w:rFonts w:ascii="Calibri" w:eastAsia="SimSun" w:hAnsi="Calibri"/>
          <w:lang w:val="en-US" w:eastAsia="zh-CN"/>
        </w:rPr>
        <w:t xml:space="preserve">s carried out when MASS </w:t>
      </w:r>
      <w:r>
        <w:rPr>
          <w:rFonts w:ascii="Calibri" w:eastAsia="SimSun" w:hAnsi="Calibri" w:hint="eastAsia"/>
          <w:lang w:val="en-US" w:eastAsia="zh-CN"/>
        </w:rPr>
        <w:t>i</w:t>
      </w:r>
      <w:r>
        <w:rPr>
          <w:rFonts w:ascii="Calibri" w:eastAsia="SimSun" w:hAnsi="Calibri"/>
          <w:lang w:val="en-US" w:eastAsia="zh-CN"/>
        </w:rPr>
        <w:t xml:space="preserve">s operated independently to different degrees. The offshore distance is assigned as S1=1(port area), S2=2(coastal area), S3=3 (offshore), and S4=4 (distant ocean). Considering that the closer the offshore distance is, </w:t>
      </w:r>
      <w:r>
        <w:rPr>
          <w:rFonts w:ascii="Calibri" w:eastAsia="SimSun" w:hAnsi="Calibri"/>
          <w:lang w:val="en-US" w:eastAsia="zh-CN"/>
        </w:rPr>
        <w:t>the higher the density of surrounding vessels is,</w:t>
      </w:r>
      <w:r>
        <w:rPr>
          <w:rFonts w:ascii="Calibri" w:eastAsia="SimSun" w:hAnsi="Calibri" w:hint="eastAsia"/>
          <w:lang w:val="en-US" w:eastAsia="zh-CN"/>
        </w:rPr>
        <w:t xml:space="preserve"> </w:t>
      </w:r>
      <w:r>
        <w:rPr>
          <w:rFonts w:ascii="Calibri" w:eastAsia="SimSun" w:hAnsi="Calibri"/>
          <w:lang w:val="en-US" w:eastAsia="zh-CN"/>
        </w:rPr>
        <w:t>the potential risk</w:t>
      </w:r>
      <w:r>
        <w:rPr>
          <w:rFonts w:ascii="Calibri" w:eastAsia="SimSun" w:hAnsi="Calibri" w:hint="eastAsia"/>
          <w:lang w:val="en-US" w:eastAsia="zh-CN"/>
        </w:rPr>
        <w:t xml:space="preserve"> value</w:t>
      </w:r>
      <w:r>
        <w:rPr>
          <w:rFonts w:ascii="Calibri" w:eastAsia="SimSun" w:hAnsi="Calibri"/>
          <w:lang w:val="en-US" w:eastAsia="zh-CN"/>
        </w:rPr>
        <w:t xml:space="preserve"> of MASS navigation</w:t>
      </w:r>
      <w:r>
        <w:rPr>
          <w:rFonts w:ascii="Calibri" w:eastAsia="SimSun" w:hAnsi="Calibri" w:hint="eastAsia"/>
          <w:lang w:val="en-US" w:eastAsia="zh-CN"/>
        </w:rPr>
        <w:t xml:space="preserve"> is</w:t>
      </w:r>
      <w:r>
        <w:rPr>
          <w:rFonts w:ascii="Calibri" w:eastAsia="SimSun" w:hAnsi="Calibri"/>
          <w:lang w:val="en-US" w:eastAsia="zh-CN"/>
        </w:rPr>
        <w:t xml:space="preserve"> higher</w:t>
      </w:r>
      <w:r>
        <w:rPr>
          <w:rFonts w:ascii="Calibri" w:eastAsia="SimSun" w:hAnsi="Calibri" w:hint="eastAsia"/>
          <w:lang w:val="en-US" w:eastAsia="zh-CN"/>
        </w:rPr>
        <w:t>.T</w:t>
      </w:r>
      <w:r>
        <w:rPr>
          <w:rFonts w:ascii="Calibri" w:eastAsia="SimSun" w:hAnsi="Calibri"/>
          <w:lang w:val="en-US" w:eastAsia="zh-CN"/>
        </w:rPr>
        <w:t>hat is</w:t>
      </w:r>
      <w:r>
        <w:rPr>
          <w:rFonts w:ascii="Calibri" w:eastAsia="SimSun" w:hAnsi="Calibri" w:hint="eastAsia"/>
          <w:lang w:val="en-US" w:eastAsia="zh-CN"/>
        </w:rPr>
        <w:t xml:space="preserve"> </w:t>
      </w:r>
      <w:r>
        <w:rPr>
          <w:rFonts w:ascii="Calibri" w:eastAsia="SimSun" w:hAnsi="Calibri"/>
          <w:lang w:val="en-US" w:eastAsia="zh-CN"/>
        </w:rPr>
        <w:t xml:space="preserve">inversely proportional to the offshore distance. </w:t>
      </w:r>
    </w:p>
    <w:p w14:paraId="0AE5907A" w14:textId="77777777" w:rsidR="00AE4730" w:rsidRDefault="00616CD4">
      <w:pPr>
        <w:pStyle w:val="BodyText"/>
        <w:rPr>
          <w:rFonts w:ascii="Calibri" w:eastAsia="SimSun" w:hAnsi="Calibri"/>
          <w:lang w:val="en-US" w:eastAsia="zh-CN"/>
        </w:rPr>
      </w:pPr>
      <w:r>
        <w:rPr>
          <w:rFonts w:ascii="Calibri" w:eastAsia="SimSun" w:hAnsi="Calibri"/>
          <w:lang w:val="en-US" w:eastAsia="zh-CN"/>
        </w:rPr>
        <w:t>Secondly, The more autonomous a ship is, the more complex its equipment and procedures are</w:t>
      </w:r>
      <w:r>
        <w:rPr>
          <w:rFonts w:ascii="Calibri" w:eastAsia="SimSun" w:hAnsi="Calibri" w:hint="eastAsia"/>
          <w:lang w:val="en-US" w:eastAsia="zh-CN"/>
        </w:rPr>
        <w:t>.</w:t>
      </w:r>
      <w:r>
        <w:rPr>
          <w:rFonts w:ascii="Calibri" w:eastAsia="SimSun" w:hAnsi="Calibri"/>
          <w:lang w:val="en-US" w:eastAsia="zh-CN"/>
        </w:rPr>
        <w:t>The</w:t>
      </w:r>
      <w:r>
        <w:rPr>
          <w:rFonts w:ascii="Calibri" w:eastAsia="SimSun" w:hAnsi="Calibri"/>
          <w:lang w:val="en-US" w:eastAsia="zh-CN"/>
        </w:rPr>
        <w:t xml:space="preserve"> more dependent they are on information exchange and equipment reliability</w:t>
      </w:r>
      <w:r>
        <w:rPr>
          <w:rFonts w:ascii="Calibri" w:eastAsia="SimSun" w:hAnsi="Calibri" w:hint="eastAsia"/>
          <w:lang w:val="en-US" w:eastAsia="zh-CN"/>
        </w:rPr>
        <w:t>,</w:t>
      </w:r>
      <w:r>
        <w:rPr>
          <w:rFonts w:ascii="Calibri" w:eastAsia="SimSun" w:hAnsi="Calibri"/>
          <w:lang w:val="en-US" w:eastAsia="zh-CN"/>
        </w:rPr>
        <w:t xml:space="preserve"> the potential risk of failure or interruption in the operation of the ship</w:t>
      </w:r>
      <w:r>
        <w:rPr>
          <w:rFonts w:ascii="Calibri" w:eastAsia="SimSun" w:hAnsi="Calibri" w:hint="eastAsia"/>
          <w:lang w:val="en-US" w:eastAsia="zh-CN"/>
        </w:rPr>
        <w:t xml:space="preserve"> is greater. T</w:t>
      </w:r>
      <w:r>
        <w:rPr>
          <w:rFonts w:ascii="Calibri" w:eastAsia="SimSun" w:hAnsi="Calibri"/>
          <w:lang w:val="en-US" w:eastAsia="zh-CN"/>
        </w:rPr>
        <w:t>hat is,  the risk value</w:t>
      </w:r>
      <w:r>
        <w:rPr>
          <w:rFonts w:ascii="Calibri" w:eastAsia="SimSun" w:hAnsi="Calibri" w:hint="eastAsia"/>
          <w:lang w:val="en-US" w:eastAsia="zh-CN"/>
        </w:rPr>
        <w:t xml:space="preserve"> is higher. </w:t>
      </w:r>
      <w:r>
        <w:rPr>
          <w:rFonts w:ascii="Calibri" w:eastAsia="SimSun" w:hAnsi="Calibri"/>
          <w:lang w:val="en-US" w:eastAsia="zh-CN"/>
        </w:rPr>
        <w:t xml:space="preserve">Therefore, for MASS with different autonomy </w:t>
      </w:r>
      <w:r>
        <w:rPr>
          <w:rFonts w:ascii="Calibri" w:eastAsia="SimSun" w:hAnsi="Calibri" w:hint="eastAsia"/>
          <w:lang w:val="en-US" w:eastAsia="zh-CN"/>
        </w:rPr>
        <w:t>degree</w:t>
      </w:r>
      <w:r>
        <w:rPr>
          <w:rFonts w:ascii="Calibri" w:eastAsia="SimSun" w:hAnsi="Calibri"/>
          <w:lang w:val="en-US" w:eastAsia="zh-CN"/>
        </w:rPr>
        <w:t xml:space="preserve">, L1=1 </w:t>
      </w:r>
      <w:r>
        <w:rPr>
          <w:rFonts w:ascii="Calibri" w:eastAsia="SimSun" w:hAnsi="Calibri"/>
          <w:lang w:val="en-US" w:eastAsia="zh-CN"/>
        </w:rPr>
        <w:t xml:space="preserve">(partial automation), L2=2 (crew remote control on board), L3=3 (offshore remote control), L4=4 (autonomous navigation) are assigned from low to high. </w:t>
      </w:r>
    </w:p>
    <w:p w14:paraId="0AE5907B" w14:textId="77777777" w:rsidR="00AE4730" w:rsidRDefault="00616CD4">
      <w:pPr>
        <w:pStyle w:val="BodyText"/>
        <w:rPr>
          <w:rFonts w:ascii="Calibri" w:eastAsia="SimSun" w:hAnsi="Calibri"/>
          <w:lang w:val="en-US" w:eastAsia="zh-CN"/>
        </w:rPr>
      </w:pPr>
      <w:r>
        <w:rPr>
          <w:rFonts w:ascii="Calibri" w:eastAsia="SimSun" w:hAnsi="Calibri"/>
          <w:lang w:val="en-US" w:eastAsia="zh-CN"/>
        </w:rPr>
        <w:t>Furthermore, the potential risks of adopting different degree of autonomy in different sailing waters wi</w:t>
      </w:r>
      <w:r>
        <w:rPr>
          <w:rFonts w:ascii="Calibri" w:eastAsia="SimSun" w:hAnsi="Calibri"/>
          <w:lang w:val="en-US" w:eastAsia="zh-CN"/>
        </w:rPr>
        <w:t>th the same autonomy level MASS are also different. A ship with an autonomy level of L4 sailing in S1 waters with the highest degree of autonomy is obviously not desirable. In the event of an emergency, the reliability of the ship's autonomous maneuverabil</w:t>
      </w:r>
      <w:r>
        <w:rPr>
          <w:rFonts w:ascii="Calibri" w:eastAsia="SimSun" w:hAnsi="Calibri"/>
          <w:lang w:val="en-US" w:eastAsia="zh-CN"/>
        </w:rPr>
        <w:t xml:space="preserve">ity and hedging is less effective than remote control or direct intervention by the crew on board. So the value of risk is proportional to the degree of autonomy.Therefore, MASS with a certain degree of autonomy </w:t>
      </w:r>
      <w:r>
        <w:rPr>
          <w:rFonts w:ascii="Calibri" w:eastAsia="SimSun" w:hAnsi="Calibri" w:hint="eastAsia"/>
          <w:lang w:val="en-US" w:eastAsia="zh-CN"/>
        </w:rPr>
        <w:t>i</w:t>
      </w:r>
      <w:r>
        <w:rPr>
          <w:rFonts w:ascii="Calibri" w:eastAsia="SimSun" w:hAnsi="Calibri"/>
          <w:lang w:val="en-US" w:eastAsia="zh-CN"/>
        </w:rPr>
        <w:t>s manipulated with different degrees of aut</w:t>
      </w:r>
      <w:r>
        <w:rPr>
          <w:rFonts w:ascii="Calibri" w:eastAsia="SimSun" w:hAnsi="Calibri"/>
          <w:lang w:val="en-US" w:eastAsia="zh-CN"/>
        </w:rPr>
        <w:t xml:space="preserve">onomy with values D1=1 (Degree1), D2=2 (Degree2), D3=3 (Degree3), and D4=4 (Degree4). </w:t>
      </w:r>
    </w:p>
    <w:p w14:paraId="0AE5907C" w14:textId="77777777" w:rsidR="00AE4730" w:rsidRDefault="00616CD4">
      <w:pPr>
        <w:pStyle w:val="BodyText"/>
      </w:pPr>
      <w:r>
        <w:rPr>
          <w:rFonts w:ascii="Calibri" w:eastAsia="SimSun" w:hAnsi="Calibri"/>
          <w:lang w:val="en-US" w:eastAsia="zh-CN"/>
        </w:rPr>
        <w:t xml:space="preserve">Combined with the above three elements, the risk value of MASS with different autonomy levels </w:t>
      </w:r>
      <w:r>
        <w:rPr>
          <w:rFonts w:ascii="Calibri" w:eastAsia="SimSun" w:hAnsi="Calibri" w:hint="eastAsia"/>
          <w:lang w:val="en-US" w:eastAsia="zh-CN"/>
        </w:rPr>
        <w:t>i</w:t>
      </w:r>
      <w:r>
        <w:rPr>
          <w:rFonts w:ascii="Calibri" w:eastAsia="SimSun" w:hAnsi="Calibri"/>
          <w:lang w:val="en-US" w:eastAsia="zh-CN"/>
        </w:rPr>
        <w:t xml:space="preserve">s established as L*D/S when it </w:t>
      </w:r>
      <w:r>
        <w:rPr>
          <w:rFonts w:ascii="Calibri" w:eastAsia="SimSun" w:hAnsi="Calibri" w:hint="eastAsia"/>
          <w:lang w:val="en-US" w:eastAsia="zh-CN"/>
        </w:rPr>
        <w:t>i</w:t>
      </w:r>
      <w:r>
        <w:rPr>
          <w:rFonts w:ascii="Calibri" w:eastAsia="SimSun" w:hAnsi="Calibri"/>
          <w:lang w:val="en-US" w:eastAsia="zh-CN"/>
        </w:rPr>
        <w:t xml:space="preserve">s manipulated with different autonomy degrees in different waters, and the results </w:t>
      </w:r>
      <w:r>
        <w:rPr>
          <w:rFonts w:ascii="Calibri" w:eastAsia="SimSun" w:hAnsi="Calibri" w:hint="eastAsia"/>
          <w:lang w:val="en-US" w:eastAsia="zh-CN"/>
        </w:rPr>
        <w:t>ar</w:t>
      </w:r>
      <w:r>
        <w:rPr>
          <w:rFonts w:ascii="Calibri" w:eastAsia="SimSun" w:hAnsi="Calibri"/>
          <w:lang w:val="en-US" w:eastAsia="zh-CN"/>
        </w:rPr>
        <w:t xml:space="preserve">e shown in Figure 1. </w:t>
      </w:r>
    </w:p>
    <w:p w14:paraId="0AE5907D" w14:textId="77777777" w:rsidR="00AE4730" w:rsidRDefault="00616CD4">
      <w:pPr>
        <w:pStyle w:val="BodyText"/>
        <w:jc w:val="center"/>
        <w:rPr>
          <w:lang w:val="en-US" w:eastAsia="zh-CN"/>
        </w:rPr>
      </w:pPr>
      <w:r>
        <w:rPr>
          <w:noProof/>
          <w:lang w:val="en-US" w:eastAsia="zh-CN"/>
        </w:rPr>
        <w:drawing>
          <wp:inline distT="0" distB="0" distL="114300" distR="114300" wp14:anchorId="0AE59080" wp14:editId="0AE59081">
            <wp:extent cx="5668645" cy="1898015"/>
            <wp:effectExtent l="0" t="0" r="8255" b="6985"/>
            <wp:docPr id="1" name="图片 1" descr="无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1"/>
                    <pic:cNvPicPr>
                      <a:picLocks noChangeAspect="1"/>
                    </pic:cNvPicPr>
                  </pic:nvPicPr>
                  <pic:blipFill>
                    <a:blip r:embed="rId12"/>
                    <a:stretch>
                      <a:fillRect/>
                    </a:stretch>
                  </pic:blipFill>
                  <pic:spPr>
                    <a:xfrm>
                      <a:off x="0" y="0"/>
                      <a:ext cx="5668645" cy="1898015"/>
                    </a:xfrm>
                    <a:prstGeom prst="rect">
                      <a:avLst/>
                    </a:prstGeom>
                  </pic:spPr>
                </pic:pic>
              </a:graphicData>
            </a:graphic>
          </wp:inline>
        </w:drawing>
      </w:r>
      <w:r>
        <w:rPr>
          <w:noProof/>
          <w:lang w:val="en-US" w:eastAsia="zh-CN"/>
        </w:rPr>
        <w:drawing>
          <wp:inline distT="0" distB="0" distL="114300" distR="114300" wp14:anchorId="0AE59082" wp14:editId="0AE59083">
            <wp:extent cx="5512435" cy="1856105"/>
            <wp:effectExtent l="0" t="0" r="12065" b="10795"/>
            <wp:docPr id="3" name="图片 3" descr="无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2"/>
                    <pic:cNvPicPr>
                      <a:picLocks noChangeAspect="1"/>
                    </pic:cNvPicPr>
                  </pic:nvPicPr>
                  <pic:blipFill>
                    <a:blip r:embed="rId13"/>
                    <a:stretch>
                      <a:fillRect/>
                    </a:stretch>
                  </pic:blipFill>
                  <pic:spPr>
                    <a:xfrm>
                      <a:off x="0" y="0"/>
                      <a:ext cx="5512435" cy="1856105"/>
                    </a:xfrm>
                    <a:prstGeom prst="rect">
                      <a:avLst/>
                    </a:prstGeom>
                  </pic:spPr>
                </pic:pic>
              </a:graphicData>
            </a:graphic>
          </wp:inline>
        </w:drawing>
      </w:r>
    </w:p>
    <w:p w14:paraId="0AE5907E" w14:textId="77777777" w:rsidR="00AE4730" w:rsidRDefault="00616CD4">
      <w:pPr>
        <w:pStyle w:val="BodyText"/>
        <w:jc w:val="center"/>
        <w:rPr>
          <w:rFonts w:ascii="Calibri" w:hAnsi="Calibri"/>
        </w:rPr>
      </w:pPr>
      <w:r>
        <w:rPr>
          <w:rFonts w:ascii="Calibri" w:hAnsi="Calibri" w:hint="eastAsia"/>
          <w:i/>
          <w:iCs/>
        </w:rPr>
        <w:t xml:space="preserve">Figure 1- The risk values of MASS with </w:t>
      </w:r>
      <w:r>
        <w:rPr>
          <w:rFonts w:ascii="Calibri" w:eastAsia="SimSun" w:hAnsi="Calibri" w:hint="eastAsia"/>
          <w:i/>
          <w:iCs/>
          <w:lang w:val="en-US" w:eastAsia="zh-CN"/>
        </w:rPr>
        <w:t xml:space="preserve">varying </w:t>
      </w:r>
      <w:r>
        <w:rPr>
          <w:rFonts w:ascii="Calibri" w:hAnsi="Calibri" w:hint="eastAsia"/>
          <w:i/>
          <w:iCs/>
        </w:rPr>
        <w:t>degrees of autonomy</w:t>
      </w:r>
      <w:r>
        <w:rPr>
          <w:rFonts w:ascii="Calibri" w:eastAsia="SimSun" w:hAnsi="Calibri" w:hint="eastAsia"/>
          <w:i/>
          <w:iCs/>
          <w:lang w:val="en-US" w:eastAsia="zh-CN"/>
        </w:rPr>
        <w:t xml:space="preserve"> </w:t>
      </w:r>
      <w:r>
        <w:rPr>
          <w:rFonts w:ascii="Calibri" w:hAnsi="Calibri" w:hint="eastAsia"/>
          <w:i/>
          <w:iCs/>
        </w:rPr>
        <w:t xml:space="preserve">in different waters </w:t>
      </w:r>
    </w:p>
    <w:p w14:paraId="0AE5907F" w14:textId="77777777" w:rsidR="00AE4730" w:rsidRDefault="00AE4730">
      <w:pPr>
        <w:pStyle w:val="BodyText"/>
        <w:rPr>
          <w:rFonts w:eastAsia="SimSun"/>
          <w:b/>
          <w:caps/>
          <w:color w:val="0070C0"/>
          <w:kern w:val="28"/>
          <w:sz w:val="24"/>
          <w:lang w:val="en-US" w:eastAsia="zh-CN"/>
        </w:rPr>
      </w:pPr>
    </w:p>
    <w:sectPr w:rsidR="00AE4730">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908B" w14:textId="77777777" w:rsidR="00000000" w:rsidRDefault="00616CD4">
      <w:r>
        <w:separator/>
      </w:r>
    </w:p>
  </w:endnote>
  <w:endnote w:type="continuationSeparator" w:id="0">
    <w:p w14:paraId="0AE5908D" w14:textId="77777777" w:rsidR="00000000" w:rsidRDefault="0061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9087" w14:textId="77777777" w:rsidR="00AE4730" w:rsidRDefault="00616CD4">
    <w:pPr>
      <w:pStyle w:val="Title"/>
      <w:jc w:val="left"/>
      <w:rPr>
        <w:rFonts w:ascii="Calibri" w:hAnsi="Calibri"/>
        <w:color w:val="0070C0"/>
        <w:sz w:val="15"/>
        <w:szCs w:val="15"/>
      </w:rPr>
    </w:pPr>
    <w:r>
      <w:rPr>
        <w:rFonts w:ascii="Calibri" w:hAnsi="Calibri" w:hint="eastAsia"/>
        <w:sz w:val="15"/>
        <w:szCs w:val="15"/>
        <w:lang w:val="en-US" w:eastAsia="zh-CN"/>
      </w:rPr>
      <w:t>Expected I</w:t>
    </w:r>
    <w:r>
      <w:rPr>
        <w:rFonts w:ascii="Calibri" w:hAnsi="Calibri" w:hint="eastAsia"/>
        <w:sz w:val="15"/>
        <w:szCs w:val="15"/>
        <w:lang w:val="en-US" w:eastAsia="zh-CN"/>
      </w:rPr>
      <w:t>nfluence</w:t>
    </w:r>
    <w:r>
      <w:rPr>
        <w:rFonts w:ascii="Calibri" w:hAnsi="Calibri" w:hint="eastAsia"/>
        <w:sz w:val="15"/>
        <w:szCs w:val="15"/>
        <w:lang w:val="en-US" w:eastAsia="zh-CN"/>
      </w:rPr>
      <w:t xml:space="preserve"> of MASS on VTS Traffic Management Rules</w:t>
    </w:r>
  </w:p>
  <w:p w14:paraId="0AE59088" w14:textId="77777777" w:rsidR="00AE4730" w:rsidRDefault="00616CD4">
    <w:pPr>
      <w:pStyle w:val="Footer"/>
      <w:rPr>
        <w:rFonts w:ascii="Calibri" w:hAnsi="Calibri"/>
      </w:rPr>
    </w:pPr>
    <w:r>
      <w:rPr>
        <w:rFonts w:ascii="Calibri" w:hAnsi="Calibri"/>
      </w:rPr>
      <w:tab/>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5</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9084" w14:textId="77777777" w:rsidR="00AE4730" w:rsidRDefault="00616CD4">
      <w:r>
        <w:separator/>
      </w:r>
    </w:p>
  </w:footnote>
  <w:footnote w:type="continuationSeparator" w:id="0">
    <w:p w14:paraId="0AE59085" w14:textId="77777777" w:rsidR="00AE4730" w:rsidRDefault="00616CD4">
      <w:r>
        <w:continuationSeparator/>
      </w:r>
    </w:p>
  </w:footnote>
  <w:footnote w:id="1">
    <w:p w14:paraId="0AE5908C" w14:textId="77777777" w:rsidR="00AE4730" w:rsidRDefault="00616CD4">
      <w:pPr>
        <w:pStyle w:val="FootnoteText"/>
        <w:rPr>
          <w:lang w:val="en-US"/>
        </w:rPr>
      </w:pPr>
      <w:r>
        <w:rPr>
          <w:rStyle w:val="FootnoteReference"/>
        </w:rPr>
        <w:footnoteRef/>
      </w:r>
      <w:r>
        <w:t xml:space="preserve"> </w:t>
      </w:r>
      <w:r>
        <w:rPr>
          <w:sz w:val="16"/>
          <w:szCs w:val="16"/>
        </w:rPr>
        <w:t>Input document number, to be assigned by the Committee Secretary</w:t>
      </w:r>
    </w:p>
  </w:footnote>
  <w:footnote w:id="2">
    <w:p w14:paraId="0AE5908D" w14:textId="77777777" w:rsidR="00AE4730" w:rsidRDefault="00616CD4">
      <w:pPr>
        <w:pStyle w:val="FootnoteText"/>
      </w:pPr>
      <w:r>
        <w:rPr>
          <w:rStyle w:val="FootnoteReference"/>
        </w:rPr>
        <w:footnoteRef/>
      </w:r>
      <w:r>
        <w:t xml:space="preserve"> </w:t>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9086" w14:textId="77777777" w:rsidR="00AE4730" w:rsidRDefault="00616CD4">
    <w:pPr>
      <w:pStyle w:val="Header"/>
      <w:jc w:val="right"/>
    </w:pPr>
    <w:r>
      <w:rPr>
        <w:noProof/>
      </w:rPr>
      <w:drawing>
        <wp:anchor distT="0" distB="0" distL="114300" distR="114300" simplePos="0" relativeHeight="251657216" behindDoc="0" locked="0" layoutInCell="1" allowOverlap="1" wp14:anchorId="0AE59089" wp14:editId="0AE5908A">
          <wp:simplePos x="0" y="0"/>
          <wp:positionH relativeFrom="column">
            <wp:posOffset>5447030</wp:posOffset>
          </wp:positionH>
          <wp:positionV relativeFrom="paragraph">
            <wp:posOffset>-427990</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r>
      <w:pict w14:anchorId="0AE59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70658" o:spid="_x0000_s4098" type="#_x0000_t136" style="position:absolute;left:0;text-align:left;margin-left:0;margin-top:0;width:623.85pt;height:65.65pt;rotation:315;z-index:-251658240;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IALA Working Doc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E8BDD2"/>
    <w:multiLevelType w:val="singleLevel"/>
    <w:tmpl w:val="25E8BDD2"/>
    <w:lvl w:ilvl="0">
      <w:start w:val="1"/>
      <w:numFmt w:val="decimal"/>
      <w:lvlText w:val="%1."/>
      <w:lvlJc w:val="left"/>
      <w:pPr>
        <w:ind w:left="425" w:hanging="425"/>
      </w:pPr>
      <w:rPr>
        <w:rFonts w:hint="default"/>
      </w:rPr>
    </w:lvl>
  </w:abstractNum>
  <w:abstractNum w:abstractNumId="5"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7"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1"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5"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367951389">
    <w:abstractNumId w:val="2"/>
  </w:num>
  <w:num w:numId="2" w16cid:durableId="118882684">
    <w:abstractNumId w:val="13"/>
  </w:num>
  <w:num w:numId="3" w16cid:durableId="101537995">
    <w:abstractNumId w:val="9"/>
  </w:num>
  <w:num w:numId="4" w16cid:durableId="1914387558">
    <w:abstractNumId w:val="1"/>
  </w:num>
  <w:num w:numId="5" w16cid:durableId="499079561">
    <w:abstractNumId w:val="15"/>
  </w:num>
  <w:num w:numId="6" w16cid:durableId="1633293760">
    <w:abstractNumId w:val="11"/>
  </w:num>
  <w:num w:numId="7" w16cid:durableId="988633130">
    <w:abstractNumId w:val="10"/>
  </w:num>
  <w:num w:numId="8" w16cid:durableId="1550073357">
    <w:abstractNumId w:val="8"/>
  </w:num>
  <w:num w:numId="9" w16cid:durableId="864293357">
    <w:abstractNumId w:val="14"/>
  </w:num>
  <w:num w:numId="10" w16cid:durableId="1827866445">
    <w:abstractNumId w:val="7"/>
  </w:num>
  <w:num w:numId="11" w16cid:durableId="202250323">
    <w:abstractNumId w:val="12"/>
  </w:num>
  <w:num w:numId="12" w16cid:durableId="1510565592">
    <w:abstractNumId w:val="3"/>
  </w:num>
  <w:num w:numId="13" w16cid:durableId="538933242">
    <w:abstractNumId w:val="5"/>
  </w:num>
  <w:num w:numId="14" w16cid:durableId="358316307">
    <w:abstractNumId w:val="6"/>
  </w:num>
  <w:num w:numId="15" w16cid:durableId="375355798">
    <w:abstractNumId w:val="0"/>
  </w:num>
  <w:num w:numId="16" w16cid:durableId="1416434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drawingGridHorizontalSpacing w:val="120"/>
  <w:noPunctuationKerning/>
  <w:characterSpacingControl w:val="doNotCompress"/>
  <w:hdrShapeDefaults>
    <o:shapedefaults v:ext="edit" spidmax="5122"/>
    <o:shapelayout v:ext="edit">
      <o:idmap v:ext="edit" data="3,4"/>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lNmE2N2E1NTJjZGM1ZTEwY2M2MTQwYjg4OTU5YWMifQ=="/>
  </w:docVars>
  <w:rsids>
    <w:rsidRoot w:val="00FE5674"/>
    <w:rsid w:val="000005D3"/>
    <w:rsid w:val="000049D8"/>
    <w:rsid w:val="00036A03"/>
    <w:rsid w:val="00036B9E"/>
    <w:rsid w:val="00037DF4"/>
    <w:rsid w:val="0004700E"/>
    <w:rsid w:val="00070C13"/>
    <w:rsid w:val="000715C9"/>
    <w:rsid w:val="00084F33"/>
    <w:rsid w:val="000A2309"/>
    <w:rsid w:val="000A77A7"/>
    <w:rsid w:val="000B1707"/>
    <w:rsid w:val="000C1B3E"/>
    <w:rsid w:val="000C349E"/>
    <w:rsid w:val="000F2584"/>
    <w:rsid w:val="000F72BA"/>
    <w:rsid w:val="00110AE7"/>
    <w:rsid w:val="00146E5F"/>
    <w:rsid w:val="00177F4D"/>
    <w:rsid w:val="00180DDA"/>
    <w:rsid w:val="001B2A2D"/>
    <w:rsid w:val="001B737D"/>
    <w:rsid w:val="001C44A3"/>
    <w:rsid w:val="001E0E15"/>
    <w:rsid w:val="001F528A"/>
    <w:rsid w:val="001F704E"/>
    <w:rsid w:val="00201722"/>
    <w:rsid w:val="002125B0"/>
    <w:rsid w:val="00215BC5"/>
    <w:rsid w:val="00243228"/>
    <w:rsid w:val="00247C5E"/>
    <w:rsid w:val="00251483"/>
    <w:rsid w:val="00255CAA"/>
    <w:rsid w:val="00264305"/>
    <w:rsid w:val="002A0346"/>
    <w:rsid w:val="002A4487"/>
    <w:rsid w:val="002B49E9"/>
    <w:rsid w:val="002C632E"/>
    <w:rsid w:val="002D3E8B"/>
    <w:rsid w:val="002D4575"/>
    <w:rsid w:val="002D5C0C"/>
    <w:rsid w:val="002E03D1"/>
    <w:rsid w:val="002E6B74"/>
    <w:rsid w:val="002E6FCA"/>
    <w:rsid w:val="003039D6"/>
    <w:rsid w:val="00356CD0"/>
    <w:rsid w:val="00362CD9"/>
    <w:rsid w:val="003761CA"/>
    <w:rsid w:val="00380DAF"/>
    <w:rsid w:val="003972CE"/>
    <w:rsid w:val="003B28F5"/>
    <w:rsid w:val="003B7B7D"/>
    <w:rsid w:val="003C54CB"/>
    <w:rsid w:val="003C7A2A"/>
    <w:rsid w:val="003D2DC1"/>
    <w:rsid w:val="003D69D0"/>
    <w:rsid w:val="003F2918"/>
    <w:rsid w:val="003F430E"/>
    <w:rsid w:val="0041088C"/>
    <w:rsid w:val="00412DD0"/>
    <w:rsid w:val="0041482C"/>
    <w:rsid w:val="00420A38"/>
    <w:rsid w:val="00431B19"/>
    <w:rsid w:val="00432203"/>
    <w:rsid w:val="004661AD"/>
    <w:rsid w:val="004A6C1D"/>
    <w:rsid w:val="004D1D85"/>
    <w:rsid w:val="004D3C3A"/>
    <w:rsid w:val="004E1CD1"/>
    <w:rsid w:val="004F7EFC"/>
    <w:rsid w:val="005107EB"/>
    <w:rsid w:val="00521345"/>
    <w:rsid w:val="00526DF0"/>
    <w:rsid w:val="00545CC4"/>
    <w:rsid w:val="00551FFF"/>
    <w:rsid w:val="005607A2"/>
    <w:rsid w:val="0057198B"/>
    <w:rsid w:val="00573CFE"/>
    <w:rsid w:val="005969F2"/>
    <w:rsid w:val="00597FAE"/>
    <w:rsid w:val="005B32A3"/>
    <w:rsid w:val="005C0D44"/>
    <w:rsid w:val="005C566C"/>
    <w:rsid w:val="005C7E69"/>
    <w:rsid w:val="005E262D"/>
    <w:rsid w:val="005F23D3"/>
    <w:rsid w:val="005F7E20"/>
    <w:rsid w:val="00605E43"/>
    <w:rsid w:val="006153BB"/>
    <w:rsid w:val="00616CD4"/>
    <w:rsid w:val="00624475"/>
    <w:rsid w:val="006652C3"/>
    <w:rsid w:val="00691FD0"/>
    <w:rsid w:val="00692148"/>
    <w:rsid w:val="006A1A1E"/>
    <w:rsid w:val="006C5948"/>
    <w:rsid w:val="006F2A74"/>
    <w:rsid w:val="006F3FA2"/>
    <w:rsid w:val="007000D4"/>
    <w:rsid w:val="007118F5"/>
    <w:rsid w:val="00712AA4"/>
    <w:rsid w:val="007146C4"/>
    <w:rsid w:val="00721AA1"/>
    <w:rsid w:val="00724B67"/>
    <w:rsid w:val="007547F8"/>
    <w:rsid w:val="00765622"/>
    <w:rsid w:val="00770B6C"/>
    <w:rsid w:val="00783FEA"/>
    <w:rsid w:val="007A395D"/>
    <w:rsid w:val="007B6BD5"/>
    <w:rsid w:val="007C346C"/>
    <w:rsid w:val="007E6479"/>
    <w:rsid w:val="0080294B"/>
    <w:rsid w:val="0082480E"/>
    <w:rsid w:val="00850293"/>
    <w:rsid w:val="00851373"/>
    <w:rsid w:val="00851BA6"/>
    <w:rsid w:val="0085654D"/>
    <w:rsid w:val="00861160"/>
    <w:rsid w:val="0086654F"/>
    <w:rsid w:val="008A356F"/>
    <w:rsid w:val="008A4653"/>
    <w:rsid w:val="008A4717"/>
    <w:rsid w:val="008A50CC"/>
    <w:rsid w:val="008B3040"/>
    <w:rsid w:val="008C51F1"/>
    <w:rsid w:val="008D1694"/>
    <w:rsid w:val="008D79CB"/>
    <w:rsid w:val="008F07BC"/>
    <w:rsid w:val="0092692B"/>
    <w:rsid w:val="00930561"/>
    <w:rsid w:val="00943E9C"/>
    <w:rsid w:val="00953F4D"/>
    <w:rsid w:val="00960BB8"/>
    <w:rsid w:val="00964F5C"/>
    <w:rsid w:val="009709DA"/>
    <w:rsid w:val="00973B57"/>
    <w:rsid w:val="00975900"/>
    <w:rsid w:val="009831C0"/>
    <w:rsid w:val="0099161D"/>
    <w:rsid w:val="00A0389B"/>
    <w:rsid w:val="00A33A3C"/>
    <w:rsid w:val="00A446C9"/>
    <w:rsid w:val="00A635D6"/>
    <w:rsid w:val="00A8553A"/>
    <w:rsid w:val="00A93AED"/>
    <w:rsid w:val="00AE1319"/>
    <w:rsid w:val="00AE34BB"/>
    <w:rsid w:val="00AE4730"/>
    <w:rsid w:val="00B226F2"/>
    <w:rsid w:val="00B274DF"/>
    <w:rsid w:val="00B56BDF"/>
    <w:rsid w:val="00B65812"/>
    <w:rsid w:val="00B85CD6"/>
    <w:rsid w:val="00B90A27"/>
    <w:rsid w:val="00B9554D"/>
    <w:rsid w:val="00BB2B9F"/>
    <w:rsid w:val="00BB7D9E"/>
    <w:rsid w:val="00BC2334"/>
    <w:rsid w:val="00BD3CB8"/>
    <w:rsid w:val="00BD4E6F"/>
    <w:rsid w:val="00BF32F0"/>
    <w:rsid w:val="00BF4DCE"/>
    <w:rsid w:val="00C05CE5"/>
    <w:rsid w:val="00C6171E"/>
    <w:rsid w:val="00CA6F2C"/>
    <w:rsid w:val="00CD6A13"/>
    <w:rsid w:val="00CF1871"/>
    <w:rsid w:val="00D01874"/>
    <w:rsid w:val="00D019CE"/>
    <w:rsid w:val="00D1133E"/>
    <w:rsid w:val="00D17A34"/>
    <w:rsid w:val="00D26628"/>
    <w:rsid w:val="00D332B3"/>
    <w:rsid w:val="00D55207"/>
    <w:rsid w:val="00D81801"/>
    <w:rsid w:val="00D92B45"/>
    <w:rsid w:val="00D95962"/>
    <w:rsid w:val="00DC389B"/>
    <w:rsid w:val="00DE2FEE"/>
    <w:rsid w:val="00DF1467"/>
    <w:rsid w:val="00DF56A1"/>
    <w:rsid w:val="00E00BE9"/>
    <w:rsid w:val="00E22A11"/>
    <w:rsid w:val="00E31E5C"/>
    <w:rsid w:val="00E44DD2"/>
    <w:rsid w:val="00E558C3"/>
    <w:rsid w:val="00E55927"/>
    <w:rsid w:val="00E60540"/>
    <w:rsid w:val="00E912A6"/>
    <w:rsid w:val="00EA4844"/>
    <w:rsid w:val="00EA4D9C"/>
    <w:rsid w:val="00EA5A97"/>
    <w:rsid w:val="00EB2248"/>
    <w:rsid w:val="00EB75EE"/>
    <w:rsid w:val="00EE3CC5"/>
    <w:rsid w:val="00EE4C1D"/>
    <w:rsid w:val="00EF3685"/>
    <w:rsid w:val="00F04350"/>
    <w:rsid w:val="00F133DB"/>
    <w:rsid w:val="00F159EB"/>
    <w:rsid w:val="00F25BF4"/>
    <w:rsid w:val="00F267DB"/>
    <w:rsid w:val="00F46F6F"/>
    <w:rsid w:val="00F60608"/>
    <w:rsid w:val="00F62217"/>
    <w:rsid w:val="00FB17A9"/>
    <w:rsid w:val="00FB527C"/>
    <w:rsid w:val="00FB6F75"/>
    <w:rsid w:val="00FC0EB3"/>
    <w:rsid w:val="00FD675E"/>
    <w:rsid w:val="00FE5674"/>
    <w:rsid w:val="018C4049"/>
    <w:rsid w:val="046D2061"/>
    <w:rsid w:val="048760F2"/>
    <w:rsid w:val="07164249"/>
    <w:rsid w:val="0AB0300C"/>
    <w:rsid w:val="0AEC4F01"/>
    <w:rsid w:val="0E35096D"/>
    <w:rsid w:val="10437B90"/>
    <w:rsid w:val="11D11B54"/>
    <w:rsid w:val="15306C9F"/>
    <w:rsid w:val="15E36409"/>
    <w:rsid w:val="195F304D"/>
    <w:rsid w:val="1A67280E"/>
    <w:rsid w:val="1B920ACC"/>
    <w:rsid w:val="1D076FC3"/>
    <w:rsid w:val="1FDC17CA"/>
    <w:rsid w:val="21801517"/>
    <w:rsid w:val="21E0410D"/>
    <w:rsid w:val="22427122"/>
    <w:rsid w:val="22520667"/>
    <w:rsid w:val="2A2736C1"/>
    <w:rsid w:val="2C237B46"/>
    <w:rsid w:val="2CB61145"/>
    <w:rsid w:val="2DEB309A"/>
    <w:rsid w:val="31035F66"/>
    <w:rsid w:val="31F10F87"/>
    <w:rsid w:val="365263C4"/>
    <w:rsid w:val="39496392"/>
    <w:rsid w:val="3CDC62D4"/>
    <w:rsid w:val="3E2A16EF"/>
    <w:rsid w:val="40917282"/>
    <w:rsid w:val="430F59A4"/>
    <w:rsid w:val="444D76C2"/>
    <w:rsid w:val="4EF1207F"/>
    <w:rsid w:val="4F71639A"/>
    <w:rsid w:val="53EB0B17"/>
    <w:rsid w:val="56266FE1"/>
    <w:rsid w:val="56283927"/>
    <w:rsid w:val="57661FF4"/>
    <w:rsid w:val="5CF57C20"/>
    <w:rsid w:val="613D781D"/>
    <w:rsid w:val="61B46D47"/>
    <w:rsid w:val="64105B2E"/>
    <w:rsid w:val="663273A8"/>
    <w:rsid w:val="69BE39A1"/>
    <w:rsid w:val="6CFC21C6"/>
    <w:rsid w:val="6D6D68A1"/>
    <w:rsid w:val="6F84239A"/>
    <w:rsid w:val="7001478A"/>
    <w:rsid w:val="7AC42F0D"/>
    <w:rsid w:val="7C053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5"/>
    </o:shapelayout>
  </w:shapeDefaults>
  <w:decimalSymbol w:val="."/>
  <w:listSeparator w:val=","/>
  <w14:docId w14:val="0AE5902B"/>
  <w15:docId w15:val="{1F0C66E8-F752-42EF-B719-87530212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spacing w:before="120" w:after="120"/>
      <w:outlineLvl w:val="2"/>
    </w:pPr>
    <w:rPr>
      <w:szCs w:val="20"/>
      <w:lang w:eastAsia="de-DE"/>
    </w:rPr>
  </w:style>
  <w:style w:type="paragraph" w:styleId="Heading4">
    <w:name w:val="heading 4"/>
    <w:basedOn w:val="Normal"/>
    <w:next w:val="BodyTextInden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NormalWeb">
    <w:name w:val="Normal (Web)"/>
    <w:basedOn w:val="Normal"/>
    <w:uiPriority w:val="99"/>
    <w:semiHidden/>
    <w:unhideWhenUsed/>
    <w:qFormat/>
    <w:rPr>
      <w:sz w:val="24"/>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Cs w:val="20"/>
      <w:lang w:eastAsia="de-DE"/>
    </w:rPr>
  </w:style>
  <w:style w:type="character" w:customStyle="1" w:styleId="Heading4Char">
    <w:name w:val="Heading 4 Char"/>
    <w:link w:val="Heading4"/>
    <w:qFormat/>
    <w:rPr>
      <w:rFonts w:ascii="Arial" w:hAnsi="Arial" w:cs="Calibri"/>
      <w:szCs w:val="20"/>
      <w:lang w:val="en-US" w:eastAsia="de-DE"/>
    </w:rPr>
  </w:style>
  <w:style w:type="character" w:customStyle="1" w:styleId="Heading5Char">
    <w:name w:val="Heading 5 Char"/>
    <w:link w:val="Heading5"/>
    <w:qFormat/>
    <w:rPr>
      <w:rFonts w:ascii="Arial" w:eastAsia="Times New Roman" w:hAnsi="Arial" w:cs="Times New Roman"/>
      <w:szCs w:val="20"/>
      <w:lang w:val="de-DE" w:eastAsia="de-DE"/>
    </w:rPr>
  </w:style>
  <w:style w:type="character" w:customStyle="1" w:styleId="Heading6Char">
    <w:name w:val="Heading 6 Char"/>
    <w:link w:val="Heading6"/>
    <w:qFormat/>
    <w:rPr>
      <w:rFonts w:ascii="Arial" w:hAnsi="Arial" w:cs="Calibri"/>
      <w:szCs w:val="20"/>
      <w:lang w:val="de-DE" w:eastAsia="de-DE"/>
    </w:rPr>
  </w:style>
  <w:style w:type="character" w:customStyle="1" w:styleId="Heading7Char">
    <w:name w:val="Heading 7 Char"/>
    <w:link w:val="Heading7"/>
    <w:qFormat/>
    <w:rPr>
      <w:rFonts w:ascii="Arial" w:hAnsi="Arial" w:cs="Calibri"/>
      <w:szCs w:val="20"/>
      <w:lang w:val="de-DE" w:eastAsia="de-DE"/>
    </w:rPr>
  </w:style>
  <w:style w:type="character" w:customStyle="1" w:styleId="Heading8Char">
    <w:name w:val="Heading 8 Char"/>
    <w:link w:val="Heading8"/>
    <w:qFormat/>
    <w:rPr>
      <w:rFonts w:ascii="Arial" w:hAnsi="Arial" w:cs="Calibri"/>
      <w:szCs w:val="20"/>
      <w:lang w:val="de-DE" w:eastAsia="de-DE"/>
    </w:rPr>
  </w:style>
  <w:style w:type="character" w:customStyle="1" w:styleId="Heading9Char">
    <w:name w:val="Heading 9 Char"/>
    <w:link w:val="Heading9"/>
    <w:qFormat/>
    <w:rPr>
      <w:rFonts w:ascii="Arial" w:hAnsi="Arial" w:cs="Calibri"/>
      <w:szCs w:val="20"/>
      <w:lang w:val="de-DE" w:eastAsia="de-DE"/>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10"/>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2"/>
      </w:numPr>
      <w:spacing w:after="120"/>
    </w:pPr>
    <w:rPr>
      <w:szCs w:val="20"/>
    </w:rPr>
  </w:style>
  <w:style w:type="paragraph" w:customStyle="1" w:styleId="AppendixHeading1">
    <w:name w:val="Appendix Heading 1"/>
    <w:basedOn w:val="Normal"/>
    <w:next w:val="BodyText"/>
    <w:qFormat/>
    <w:pPr>
      <w:numPr>
        <w:numId w:val="13"/>
      </w:numPr>
      <w:spacing w:before="120" w:after="120"/>
    </w:pPr>
    <w:rPr>
      <w:rFonts w:cs="Arial"/>
      <w:b/>
      <w:caps/>
      <w:sz w:val="24"/>
    </w:rPr>
  </w:style>
  <w:style w:type="paragraph" w:customStyle="1" w:styleId="AppendixHeading2">
    <w:name w:val="Appendix Heading 2"/>
    <w:basedOn w:val="Normal"/>
    <w:next w:val="BodyText"/>
    <w:qFormat/>
    <w:pPr>
      <w:numPr>
        <w:ilvl w:val="1"/>
        <w:numId w:val="13"/>
      </w:numPr>
      <w:spacing w:before="120" w:after="120"/>
    </w:pPr>
    <w:rPr>
      <w:rFonts w:cs="Arial"/>
      <w:b/>
    </w:rPr>
  </w:style>
  <w:style w:type="paragraph" w:customStyle="1" w:styleId="AppendixHeading3">
    <w:name w:val="Appendix Heading 3"/>
    <w:basedOn w:val="Normal"/>
    <w:next w:val="Normal"/>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5"/>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9E322-D844-4C4A-8253-DE5056654D8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2C24A0-1620-45A6-ADED-BA0681538F81}">
  <ds:schemaRefs/>
</ds:datastoreItem>
</file>

<file path=customXml/itemProps4.xml><?xml version="1.0" encoding="utf-8"?>
<ds:datastoreItem xmlns:ds="http://schemas.openxmlformats.org/officeDocument/2006/customXml" ds:itemID="{7607B137-3F3A-40F5-8009-198DD1AC050B}">
  <ds:schemaRefs/>
</ds:datastoreItem>
</file>

<file path=customXml/itemProps5.xml><?xml version="1.0" encoding="utf-8"?>
<ds:datastoreItem xmlns:ds="http://schemas.openxmlformats.org/officeDocument/2006/customXml" ds:itemID="{773563F2-227D-432F-8EA3-8DF96D20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Kevin Gregory</cp:lastModifiedBy>
  <cp:revision>4</cp:revision>
  <dcterms:created xsi:type="dcterms:W3CDTF">2022-03-14T11:14:00Z</dcterms:created>
  <dcterms:modified xsi:type="dcterms:W3CDTF">2022-08-22T10:55:00Z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KSOProductBuildVer">
    <vt:lpwstr>2052-11.1.0.12302</vt:lpwstr>
  </property>
  <property fmtid="{D5CDD505-2E9C-101B-9397-08002B2CF9AE}" pid="5" name="ICV">
    <vt:lpwstr>F05B6533419F4477B6A0DD794E7F4A25</vt:lpwstr>
  </property>
  <property fmtid="{D5CDD505-2E9C-101B-9397-08002B2CF9AE}" pid="6" name="MediaServiceImageTags">
    <vt:lpwstr/>
  </property>
</Properties>
</file>