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4C84" w14:textId="5995DF00" w:rsidR="00FC4EBD" w:rsidRDefault="00000000">
      <w:pPr>
        <w:pStyle w:val="Header"/>
        <w:tabs>
          <w:tab w:val="clear" w:pos="9639"/>
          <w:tab w:val="right" w:pos="5954"/>
        </w:tabs>
        <w:spacing w:after="240"/>
        <w:jc w:val="right"/>
        <w:rPr>
          <w:rFonts w:ascii="Calibri" w:hAnsi="Calibri"/>
        </w:rPr>
      </w:pPr>
      <w:r>
        <w:rPr>
          <w:rFonts w:ascii="Calibri" w:hAnsi="Calibri"/>
        </w:rPr>
        <w:t xml:space="preserve">Input paper: </w:t>
      </w:r>
      <w:r>
        <w:rPr>
          <w:rStyle w:val="FootnoteReference"/>
          <w:rFonts w:ascii="Calibri" w:hAnsi="Calibri"/>
          <w:sz w:val="22"/>
          <w:vertAlign w:val="superscript"/>
        </w:rPr>
        <w:footnoteReference w:id="1"/>
      </w:r>
      <w:r>
        <w:rPr>
          <w:rFonts w:ascii="Calibri" w:hAnsi="Calibri"/>
        </w:rPr>
        <w:t xml:space="preserve">  VTS57-</w:t>
      </w:r>
      <w:r w:rsidR="002A7262">
        <w:rPr>
          <w:rFonts w:ascii="Calibri" w:hAnsi="Calibri"/>
        </w:rPr>
        <w:t>9.1.1</w:t>
      </w:r>
    </w:p>
    <w:p w14:paraId="23F3577F" w14:textId="77777777" w:rsidR="00FC4EBD" w:rsidRDefault="00FC4EBD">
      <w:pPr>
        <w:pStyle w:val="BodyText"/>
        <w:tabs>
          <w:tab w:val="left" w:pos="2835"/>
        </w:tabs>
        <w:rPr>
          <w:rFonts w:ascii="Calibri" w:hAnsi="Calibri"/>
        </w:rPr>
      </w:pPr>
    </w:p>
    <w:p w14:paraId="49705A0F" w14:textId="77777777" w:rsidR="00FC4EBD" w:rsidRDefault="00FC4EBD">
      <w:pPr>
        <w:pStyle w:val="BodyText"/>
        <w:tabs>
          <w:tab w:val="left" w:pos="2835"/>
        </w:tabs>
        <w:rPr>
          <w:rFonts w:ascii="Calibri" w:hAnsi="Calibri"/>
        </w:rPr>
      </w:pPr>
    </w:p>
    <w:p w14:paraId="763BD0C1" w14:textId="77777777" w:rsidR="00FC4EBD" w:rsidRDefault="00000000">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6FC47E1C" w14:textId="77777777" w:rsidR="00FC4EBD" w:rsidRDefault="00000000">
      <w:pPr>
        <w:pStyle w:val="BodyText"/>
        <w:tabs>
          <w:tab w:val="left" w:pos="1843"/>
        </w:tabs>
        <w:rPr>
          <w:rFonts w:ascii="Calibri" w:hAnsi="Calibri" w:cs="Arial"/>
          <w:b/>
          <w:sz w:val="24"/>
          <w:szCs w:val="24"/>
        </w:rPr>
      </w:pPr>
      <w:r>
        <w:rPr>
          <w:rFonts w:ascii="Calibri" w:hAnsi="Calibri" w:cs="Arial"/>
          <w:b/>
          <w:sz w:val="24"/>
          <w:szCs w:val="24"/>
        </w:rPr>
        <w:t>□</w:t>
      </w:r>
      <w:r>
        <w:rPr>
          <w:rFonts w:ascii="Calibri" w:hAnsi="Calibri" w:cs="Arial"/>
          <w:sz w:val="24"/>
          <w:szCs w:val="24"/>
        </w:rPr>
        <w:t xml:space="preserve">  </w:t>
      </w:r>
      <w:r>
        <w:rPr>
          <w:rFonts w:ascii="Calibri" w:hAnsi="Calibri" w:cs="Arial"/>
        </w:rPr>
        <w:t>ARM</w:t>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ENG</w:t>
      </w:r>
      <w:r>
        <w:rPr>
          <w:rFonts w:ascii="Calibri" w:hAnsi="Calibri" w:cs="Arial"/>
        </w:rPr>
        <w:tab/>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PAP</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X</w:t>
      </w:r>
      <w:r>
        <w:rPr>
          <w:rFonts w:ascii="Calibri" w:hAnsi="Calibri" w:cs="Arial"/>
          <w:sz w:val="24"/>
          <w:szCs w:val="24"/>
        </w:rPr>
        <w:t xml:space="preserve">  Input</w:t>
      </w:r>
    </w:p>
    <w:p w14:paraId="6026FE11" w14:textId="77777777" w:rsidR="00FC4EBD" w:rsidRDefault="00000000">
      <w:pPr>
        <w:pStyle w:val="BodyText"/>
        <w:tabs>
          <w:tab w:val="left" w:pos="1843"/>
        </w:tabs>
        <w:rPr>
          <w:rFonts w:ascii="Calibri" w:hAnsi="Calibri"/>
        </w:rPr>
      </w:pPr>
      <w:r>
        <w:rPr>
          <w:rFonts w:ascii="Calibri" w:hAnsi="Calibri" w:cs="Arial"/>
          <w:b/>
          <w:sz w:val="24"/>
          <w:szCs w:val="24"/>
        </w:rPr>
        <w:t>□</w:t>
      </w:r>
      <w:r>
        <w:rPr>
          <w:rFonts w:ascii="Calibri" w:hAnsi="Calibri" w:cs="Arial"/>
          <w:sz w:val="24"/>
          <w:szCs w:val="24"/>
        </w:rPr>
        <w:t xml:space="preserve">  </w:t>
      </w:r>
      <w:r>
        <w:rPr>
          <w:rFonts w:ascii="Calibri" w:hAnsi="Calibri" w:cs="Arial"/>
        </w:rPr>
        <w:t>ENAV</w:t>
      </w:r>
      <w:r>
        <w:rPr>
          <w:rFonts w:ascii="Calibri" w:hAnsi="Calibri" w:cs="Arial"/>
          <w:b/>
          <w:sz w:val="24"/>
          <w:szCs w:val="24"/>
        </w:rPr>
        <w:tab/>
        <w:t>X</w:t>
      </w:r>
      <w:r>
        <w:rPr>
          <w:rFonts w:ascii="Calibri" w:hAnsi="Calibri" w:cs="Arial"/>
          <w:sz w:val="24"/>
          <w:szCs w:val="24"/>
        </w:rPr>
        <w:t xml:space="preserve">  </w:t>
      </w:r>
      <w:r>
        <w:rPr>
          <w:rFonts w:ascii="Calibri" w:hAnsi="Calibri" w:cs="Arial"/>
        </w:rPr>
        <w:t>VTS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w:t>
      </w:r>
      <w:r>
        <w:rPr>
          <w:rFonts w:ascii="Calibri" w:hAnsi="Calibri" w:cs="Arial"/>
          <w:sz w:val="24"/>
          <w:szCs w:val="24"/>
        </w:rPr>
        <w:t xml:space="preserve">  Information</w:t>
      </w:r>
    </w:p>
    <w:p w14:paraId="52EDC2CB" w14:textId="77777777" w:rsidR="00FC4EBD" w:rsidRDefault="00FC4EBD">
      <w:pPr>
        <w:pStyle w:val="BodyText"/>
        <w:tabs>
          <w:tab w:val="left" w:pos="2835"/>
        </w:tabs>
        <w:rPr>
          <w:rFonts w:ascii="Calibri" w:hAnsi="Calibri"/>
        </w:rPr>
      </w:pPr>
    </w:p>
    <w:p w14:paraId="0656BFD0" w14:textId="70AFCAE5" w:rsidR="00FC4EBD" w:rsidRDefault="00000000">
      <w:pPr>
        <w:pStyle w:val="BodyText"/>
        <w:tabs>
          <w:tab w:val="left" w:pos="2835"/>
        </w:tabs>
        <w:rPr>
          <w:rFonts w:ascii="Calibri" w:hAnsi="Calibri"/>
        </w:rPr>
      </w:pPr>
      <w:r>
        <w:rPr>
          <w:rFonts w:ascii="Calibri" w:hAnsi="Calibri"/>
        </w:rPr>
        <w:t xml:space="preserve">Agenda item </w:t>
      </w:r>
      <w:r>
        <w:rPr>
          <w:rStyle w:val="FootnoteReference"/>
          <w:rFonts w:ascii="Calibri" w:hAnsi="Calibri"/>
          <w:sz w:val="22"/>
          <w:vertAlign w:val="superscript"/>
        </w:rPr>
        <w:footnoteReference w:id="2"/>
      </w:r>
      <w:r>
        <w:rPr>
          <w:rFonts w:ascii="Calibri" w:hAnsi="Calibri"/>
        </w:rPr>
        <w:tab/>
      </w:r>
      <w:r>
        <w:rPr>
          <w:rFonts w:ascii="Calibri" w:hAnsi="Calibri"/>
        </w:rPr>
        <w:tab/>
      </w:r>
      <w:r>
        <w:rPr>
          <w:rFonts w:ascii="Calibri" w:hAnsi="Calibri"/>
        </w:rPr>
        <w:tab/>
      </w:r>
      <w:r w:rsidR="002A7262">
        <w:rPr>
          <w:rFonts w:ascii="Calibri" w:hAnsi="Calibri"/>
        </w:rPr>
        <w:t>9.1</w:t>
      </w:r>
    </w:p>
    <w:p w14:paraId="49094EC7" w14:textId="2307AA41" w:rsidR="00FC4EBD" w:rsidRDefault="00000000">
      <w:pPr>
        <w:pStyle w:val="BodyText"/>
        <w:tabs>
          <w:tab w:val="left" w:pos="2835"/>
        </w:tabs>
        <w:rPr>
          <w:rFonts w:ascii="Calibri" w:hAnsi="Calibri"/>
        </w:rPr>
      </w:pPr>
      <w:r>
        <w:rPr>
          <w:rFonts w:ascii="Calibri" w:hAnsi="Calibri"/>
        </w:rPr>
        <w:t xml:space="preserve">Technical Domain / Task Number </w:t>
      </w:r>
      <w:r>
        <w:rPr>
          <w:rFonts w:ascii="Calibri" w:hAnsi="Calibri"/>
          <w:vertAlign w:val="superscript"/>
        </w:rPr>
        <w:t>2</w:t>
      </w:r>
      <w:r>
        <w:rPr>
          <w:rFonts w:ascii="Calibri" w:hAnsi="Calibri"/>
        </w:rPr>
        <w:tab/>
        <w:t>2.5.2</w:t>
      </w:r>
      <w:r w:rsidR="002A7262">
        <w:rPr>
          <w:rFonts w:ascii="Calibri" w:hAnsi="Calibri"/>
        </w:rPr>
        <w:t>b</w:t>
      </w:r>
    </w:p>
    <w:p w14:paraId="051FF553" w14:textId="77777777" w:rsidR="00FC4EBD" w:rsidRDefault="00000000">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36131A24" w14:textId="77777777" w:rsidR="00FC4EBD" w:rsidRDefault="00FC4EBD">
      <w:pPr>
        <w:pStyle w:val="BodyText"/>
        <w:tabs>
          <w:tab w:val="left" w:pos="2835"/>
        </w:tabs>
        <w:rPr>
          <w:rFonts w:ascii="Calibri" w:hAnsi="Calibri"/>
        </w:rPr>
      </w:pPr>
    </w:p>
    <w:p w14:paraId="15DE9845" w14:textId="77777777" w:rsidR="00FC4EBD" w:rsidRDefault="00000000">
      <w:pPr>
        <w:pStyle w:val="Title"/>
        <w:rPr>
          <w:rFonts w:ascii="Arial Bold" w:eastAsia="Times New Roman" w:hAnsi="Arial Bold"/>
          <w:caps/>
          <w:color w:val="00558C"/>
          <w:sz w:val="28"/>
          <w:lang w:eastAsia="en-US"/>
        </w:rPr>
      </w:pPr>
      <w:r>
        <w:rPr>
          <w:rFonts w:ascii="Arial Bold" w:eastAsia="Times New Roman" w:hAnsi="Arial Bold" w:hint="eastAsia"/>
          <w:caps/>
          <w:color w:val="00558C"/>
          <w:sz w:val="28"/>
          <w:lang w:eastAsia="en-US"/>
        </w:rPr>
        <w:t>Proposals on the</w:t>
      </w:r>
      <w:r>
        <w:rPr>
          <w:rFonts w:ascii="Arial Bold" w:eastAsia="Times New Roman" w:hAnsi="Arial Bold"/>
          <w:caps/>
          <w:color w:val="00558C"/>
          <w:sz w:val="28"/>
          <w:lang w:eastAsia="en-US"/>
        </w:rPr>
        <w:t xml:space="preserve"> </w:t>
      </w:r>
      <w:bookmarkStart w:id="0" w:name="_Hlk186816704"/>
      <w:r>
        <w:rPr>
          <w:rFonts w:ascii="Arial Bold" w:eastAsia="Times New Roman" w:hAnsi="Arial Bold"/>
          <w:caps/>
          <w:color w:val="00558C"/>
          <w:sz w:val="28"/>
          <w:lang w:eastAsia="en-US"/>
        </w:rPr>
        <w:t>“</w:t>
      </w:r>
      <w:bookmarkEnd w:id="0"/>
      <w:r>
        <w:rPr>
          <w:rFonts w:ascii="Arial Bold" w:eastAsia="Times New Roman" w:hAnsi="Arial Bold"/>
          <w:caps/>
          <w:color w:val="00558C"/>
          <w:sz w:val="28"/>
          <w:lang w:eastAsia="en-US"/>
        </w:rPr>
        <w:t>Service Specification for                         VTS - Vessel Route Exchange Edition 0.3</w:t>
      </w:r>
      <w:bookmarkStart w:id="1" w:name="_Hlk186816710"/>
      <w:r>
        <w:rPr>
          <w:rFonts w:ascii="Arial Bold" w:eastAsia="Times New Roman" w:hAnsi="Arial Bold"/>
          <w:caps/>
          <w:color w:val="00558C"/>
          <w:sz w:val="28"/>
          <w:lang w:eastAsia="en-US"/>
        </w:rPr>
        <w:t>”</w:t>
      </w:r>
      <w:bookmarkEnd w:id="1"/>
      <w:r>
        <w:rPr>
          <w:rFonts w:ascii="Arial Bold" w:eastAsia="Times New Roman" w:hAnsi="Arial Bold" w:hint="eastAsia"/>
          <w:caps/>
          <w:color w:val="00558C"/>
          <w:sz w:val="28"/>
          <w:lang w:eastAsia="en-US"/>
        </w:rPr>
        <w:t xml:space="preserve"> </w:t>
      </w:r>
    </w:p>
    <w:p w14:paraId="17844398" w14:textId="77777777" w:rsidR="00FC4EBD" w:rsidRDefault="00000000">
      <w:pPr>
        <w:pStyle w:val="Heading1"/>
      </w:pPr>
      <w:r>
        <w:t>Summary</w:t>
      </w:r>
    </w:p>
    <w:p w14:paraId="4821DE5B" w14:textId="77777777" w:rsidR="00FC4EBD" w:rsidRDefault="00000000">
      <w:pPr>
        <w:pStyle w:val="BodyText"/>
        <w:rPr>
          <w:rFonts w:ascii="Calibri" w:hAnsi="Calibri"/>
          <w:lang w:eastAsia="zh-CN"/>
        </w:rPr>
      </w:pPr>
      <w:r>
        <w:rPr>
          <w:rFonts w:ascii="Calibri" w:hAnsi="Calibri"/>
        </w:rPr>
        <w:t>This</w:t>
      </w:r>
      <w:r>
        <w:rPr>
          <w:rFonts w:ascii="Calibri" w:hAnsi="Calibri" w:hint="eastAsia"/>
        </w:rPr>
        <w:t xml:space="preserve"> proposal </w:t>
      </w:r>
      <w:r>
        <w:rPr>
          <w:rFonts w:ascii="Calibri" w:hAnsi="Calibri"/>
        </w:rPr>
        <w:t xml:space="preserve">proposes revisions to Service Specification for VTS - Vessel Route Exchange Edition 0.3 from the aspects of consistency analysis of relevant </w:t>
      </w:r>
      <w:r>
        <w:rPr>
          <w:rFonts w:ascii="Calibri" w:hAnsi="Calibri" w:hint="eastAsia"/>
          <w:lang w:val="en-US" w:eastAsia="zh-CN"/>
        </w:rPr>
        <w:t>i</w:t>
      </w:r>
      <w:r>
        <w:rPr>
          <w:rFonts w:ascii="Calibri" w:hAnsi="Calibri"/>
        </w:rPr>
        <w:t>ndustrial standards, such as S-421, optimization and improvement of use cases in the VTS and operation service dimensions, and editorial changes.</w:t>
      </w:r>
    </w:p>
    <w:p w14:paraId="565C357B" w14:textId="77777777" w:rsidR="00FC4EBD" w:rsidRDefault="00000000">
      <w:pPr>
        <w:pStyle w:val="Heading2"/>
      </w:pPr>
      <w:r>
        <w:t>Purpose of the document</w:t>
      </w:r>
    </w:p>
    <w:p w14:paraId="2A7C8328" w14:textId="77777777" w:rsidR="00FC4EBD" w:rsidRDefault="00000000">
      <w:pPr>
        <w:pStyle w:val="BodyText"/>
        <w:rPr>
          <w:rFonts w:ascii="Calibri" w:hAnsi="Calibri"/>
          <w:lang w:eastAsia="zh-CN"/>
        </w:rPr>
      </w:pPr>
      <w:r>
        <w:rPr>
          <w:rFonts w:ascii="Calibri" w:hAnsi="Calibri"/>
        </w:rPr>
        <w:t>The purpose of this document is to provide input document for the VTS committee to update the Service Specification for VTS - Vessel Route Exchange Edition 0.3.</w:t>
      </w:r>
      <w:r>
        <w:rPr>
          <w:rFonts w:hint="eastAsia"/>
        </w:rPr>
        <w:t xml:space="preserve"> </w:t>
      </w:r>
    </w:p>
    <w:p w14:paraId="05C05659" w14:textId="77777777" w:rsidR="00FC4EBD" w:rsidRDefault="00000000">
      <w:pPr>
        <w:pStyle w:val="Heading2"/>
      </w:pPr>
      <w:r>
        <w:t>Related documents</w:t>
      </w:r>
    </w:p>
    <w:p w14:paraId="3EBD4C61" w14:textId="77777777" w:rsidR="00FC4EBD" w:rsidRDefault="00000000">
      <w:pPr>
        <w:pStyle w:val="BodyText"/>
        <w:rPr>
          <w:rFonts w:ascii="Calibri" w:hAnsi="Calibri"/>
          <w:lang w:val="en-US"/>
        </w:rPr>
      </w:pPr>
      <w:r>
        <w:rPr>
          <w:rFonts w:ascii="Calibri" w:hAnsi="Calibri"/>
        </w:rPr>
        <w:t>[1]</w:t>
      </w:r>
      <w:r>
        <w:rPr>
          <w:rFonts w:ascii="Calibri" w:hAnsi="Calibri"/>
        </w:rPr>
        <w:tab/>
      </w:r>
      <w:r>
        <w:rPr>
          <w:rFonts w:ascii="Calibri" w:hAnsi="Calibri"/>
          <w:lang w:val="en-US"/>
        </w:rPr>
        <w:t>VTS56-6.1.1 VTS Task Plan 2023-2027</w:t>
      </w:r>
    </w:p>
    <w:p w14:paraId="7F27F9FB" w14:textId="77777777" w:rsidR="00FC4EBD" w:rsidRDefault="00000000">
      <w:pPr>
        <w:pStyle w:val="BodyText"/>
        <w:rPr>
          <w:rFonts w:ascii="Calibri" w:hAnsi="Calibri"/>
          <w:lang w:val="en-US"/>
        </w:rPr>
      </w:pPr>
      <w:bookmarkStart w:id="2" w:name="_Hlk156847440"/>
      <w:r>
        <w:rPr>
          <w:rFonts w:ascii="Calibri" w:hAnsi="Calibri"/>
        </w:rPr>
        <w:t>[2]</w:t>
      </w:r>
      <w:r>
        <w:rPr>
          <w:rFonts w:ascii="Calibri" w:hAnsi="Calibri"/>
          <w:b/>
          <w:bCs/>
          <w:lang w:val="en-US"/>
        </w:rPr>
        <w:t xml:space="preserve"> </w:t>
      </w:r>
      <w:r>
        <w:rPr>
          <w:rFonts w:ascii="Calibri" w:hAnsi="Calibri"/>
          <w:b/>
          <w:bCs/>
          <w:lang w:val="en-US"/>
        </w:rPr>
        <w:tab/>
      </w:r>
      <w:r>
        <w:rPr>
          <w:rFonts w:ascii="Calibri" w:hAnsi="Calibri"/>
          <w:lang w:val="en-US"/>
        </w:rPr>
        <w:t>VTS5</w:t>
      </w:r>
      <w:bookmarkEnd w:id="2"/>
      <w:r>
        <w:rPr>
          <w:rFonts w:ascii="Calibri" w:hAnsi="Calibri"/>
          <w:lang w:val="en-US"/>
        </w:rPr>
        <w:t xml:space="preserve">6 </w:t>
      </w:r>
      <w:r>
        <w:rPr>
          <w:rFonts w:ascii="Calibri" w:hAnsi="Calibri"/>
          <w:lang w:val="en-US" w:eastAsia="zh-CN"/>
        </w:rPr>
        <w:t>intersessional meeting</w:t>
      </w:r>
      <w:r>
        <w:rPr>
          <w:rFonts w:ascii="Calibri" w:hAnsi="Calibri" w:hint="eastAsia"/>
          <w:lang w:val="en-US" w:eastAsia="zh-CN"/>
        </w:rPr>
        <w:t xml:space="preserve"> </w:t>
      </w:r>
      <w:r>
        <w:rPr>
          <w:rFonts w:ascii="Calibri" w:hAnsi="Calibri"/>
          <w:lang w:val="en-US"/>
        </w:rPr>
        <w:t>Draft of Service Specification for VTS - Vessel Route Exchange Edition 0.3(working paper)</w:t>
      </w:r>
    </w:p>
    <w:p w14:paraId="3BADFCBB" w14:textId="77777777" w:rsidR="00FC4EBD" w:rsidRDefault="00000000">
      <w:pPr>
        <w:pStyle w:val="BodyText"/>
        <w:rPr>
          <w:rFonts w:ascii="Calibri" w:hAnsi="Calibri"/>
          <w:lang w:val="en-US"/>
        </w:rPr>
      </w:pPr>
      <w:r>
        <w:rPr>
          <w:rFonts w:ascii="Calibri" w:hAnsi="Calibri"/>
        </w:rPr>
        <w:t>[3]</w:t>
      </w:r>
      <w:r>
        <w:rPr>
          <w:rFonts w:ascii="Calibri" w:hAnsi="Calibri"/>
          <w:b/>
          <w:bCs/>
          <w:lang w:val="en-US"/>
        </w:rPr>
        <w:t xml:space="preserve"> </w:t>
      </w:r>
      <w:r>
        <w:rPr>
          <w:rFonts w:ascii="Calibri" w:hAnsi="Calibri"/>
          <w:b/>
          <w:bCs/>
          <w:lang w:val="en-US"/>
        </w:rPr>
        <w:tab/>
      </w:r>
      <w:r>
        <w:rPr>
          <w:rFonts w:ascii="Calibri" w:hAnsi="Calibri"/>
        </w:rPr>
        <w:t xml:space="preserve"> VTS53-6.3.2 Development of technical service specifications for digital data exchange between VTS and other entities - primarily ships</w:t>
      </w:r>
      <w:r>
        <w:rPr>
          <w:rFonts w:ascii="Calibri" w:hAnsi="Calibri"/>
          <w:lang w:val="en-US"/>
        </w:rPr>
        <w:t xml:space="preserve"> </w:t>
      </w:r>
    </w:p>
    <w:p w14:paraId="1CC5772A" w14:textId="77777777" w:rsidR="00FC4EBD" w:rsidRDefault="00000000">
      <w:pPr>
        <w:pStyle w:val="BodyText"/>
        <w:rPr>
          <w:rFonts w:ascii="Calibri" w:hAnsi="Calibri"/>
          <w:lang w:val="en-US"/>
        </w:rPr>
      </w:pPr>
      <w:r>
        <w:rPr>
          <w:rFonts w:ascii="Calibri" w:hAnsi="Calibri"/>
        </w:rPr>
        <w:t>[4]</w:t>
      </w:r>
      <w:r>
        <w:rPr>
          <w:rFonts w:ascii="Calibri" w:hAnsi="Calibri"/>
          <w:b/>
          <w:bCs/>
          <w:lang w:val="en-US"/>
        </w:rPr>
        <w:t xml:space="preserve"> </w:t>
      </w:r>
      <w:r>
        <w:rPr>
          <w:rFonts w:ascii="Calibri" w:hAnsi="Calibri"/>
          <w:b/>
          <w:bCs/>
          <w:lang w:val="en-US"/>
        </w:rPr>
        <w:tab/>
        <w:t xml:space="preserve"> </w:t>
      </w:r>
      <w:r>
        <w:rPr>
          <w:rFonts w:ascii="Calibri" w:hAnsi="Calibri"/>
          <w:lang w:val="en-US"/>
        </w:rPr>
        <w:t>VTS54-9.1.</w:t>
      </w:r>
      <w:r>
        <w:rPr>
          <w:rFonts w:ascii="Calibri" w:hAnsi="Calibri"/>
          <w:b/>
          <w:bCs/>
          <w:lang w:val="en-US"/>
        </w:rPr>
        <w:t xml:space="preserve">3 </w:t>
      </w:r>
      <w:r>
        <w:rPr>
          <w:rFonts w:ascii="Calibri" w:hAnsi="Calibri"/>
          <w:lang w:val="en-US"/>
        </w:rPr>
        <w:t>Proposals on the New Task of "Developing Technical Service Specifications for Digital</w:t>
      </w:r>
      <w:r>
        <w:rPr>
          <w:rFonts w:ascii="Calibri" w:hAnsi="Calibri" w:hint="eastAsia"/>
          <w:lang w:val="en-US" w:eastAsia="zh-CN"/>
        </w:rPr>
        <w:t xml:space="preserve"> </w:t>
      </w:r>
      <w:r>
        <w:rPr>
          <w:rFonts w:ascii="Calibri" w:hAnsi="Calibri"/>
          <w:lang w:val="en-US"/>
        </w:rPr>
        <w:t>Data Exchange between VTS and Other Entities - Primarily Ships"</w:t>
      </w:r>
    </w:p>
    <w:p w14:paraId="5E7948F1" w14:textId="77777777" w:rsidR="00FC4EBD" w:rsidRDefault="00000000">
      <w:pPr>
        <w:pStyle w:val="BodyText"/>
        <w:rPr>
          <w:rFonts w:ascii="Calibri" w:hAnsi="Calibri"/>
          <w:lang w:val="en-US"/>
        </w:rPr>
      </w:pPr>
      <w:bookmarkStart w:id="3" w:name="_Hlk170029563"/>
      <w:r>
        <w:rPr>
          <w:rFonts w:ascii="Calibri" w:hAnsi="Calibri"/>
        </w:rPr>
        <w:t>[5]</w:t>
      </w:r>
      <w:r>
        <w:rPr>
          <w:rFonts w:ascii="Calibri" w:hAnsi="Calibri"/>
          <w:b/>
          <w:bCs/>
          <w:lang w:val="en-US"/>
        </w:rPr>
        <w:t xml:space="preserve"> </w:t>
      </w:r>
      <w:r>
        <w:rPr>
          <w:rFonts w:ascii="Calibri" w:hAnsi="Calibri"/>
          <w:b/>
          <w:bCs/>
          <w:lang w:val="en-US"/>
        </w:rPr>
        <w:tab/>
        <w:t xml:space="preserve"> </w:t>
      </w:r>
      <w:r>
        <w:rPr>
          <w:rFonts w:ascii="Calibri" w:hAnsi="Calibri"/>
          <w:lang w:val="en-US"/>
        </w:rPr>
        <w:t>VTS55-9.1.1</w:t>
      </w:r>
      <w:r>
        <w:rPr>
          <w:rFonts w:ascii="Calibri" w:hAnsi="Calibri"/>
          <w:b/>
          <w:bCs/>
          <w:lang w:val="en-US"/>
        </w:rPr>
        <w:t xml:space="preserve"> </w:t>
      </w:r>
      <w:r>
        <w:rPr>
          <w:rFonts w:ascii="Calibri" w:hAnsi="Calibri"/>
          <w:lang w:val="en-US"/>
        </w:rPr>
        <w:t>Proposals on the “Service Specification for VTS Traffic Clearance Service_V1.0”</w:t>
      </w:r>
      <w:bookmarkEnd w:id="3"/>
    </w:p>
    <w:p w14:paraId="6DF038B7" w14:textId="77777777" w:rsidR="00FC4EBD" w:rsidRDefault="00000000">
      <w:pPr>
        <w:pStyle w:val="BodyText"/>
        <w:rPr>
          <w:rFonts w:ascii="Calibri" w:hAnsi="Calibri"/>
          <w:lang w:val="en-US"/>
        </w:rPr>
      </w:pPr>
      <w:r>
        <w:rPr>
          <w:rFonts w:ascii="Calibri" w:hAnsi="Calibri"/>
        </w:rPr>
        <w:t>[6]</w:t>
      </w:r>
      <w:r>
        <w:rPr>
          <w:rFonts w:ascii="Calibri" w:hAnsi="Calibri"/>
          <w:b/>
          <w:bCs/>
          <w:lang w:val="en-US"/>
        </w:rPr>
        <w:t xml:space="preserve"> </w:t>
      </w:r>
      <w:r>
        <w:rPr>
          <w:rFonts w:ascii="Calibri" w:hAnsi="Calibri"/>
          <w:b/>
          <w:bCs/>
          <w:lang w:val="en-US"/>
        </w:rPr>
        <w:tab/>
      </w:r>
      <w:r>
        <w:rPr>
          <w:rFonts w:ascii="Calibri" w:hAnsi="Calibri"/>
          <w:lang w:val="en-US"/>
        </w:rPr>
        <w:t xml:space="preserve"> </w:t>
      </w:r>
      <w:r>
        <w:rPr>
          <w:rFonts w:ascii="Calibri" w:hAnsi="Calibri"/>
          <w:lang w:val="en-US" w:eastAsia="zh-CN"/>
        </w:rPr>
        <w:t>VTS56-9.1.1 Proposal on the "Service Specification for VTS Traffic Clearance Service Edition 1.3” and "Service design"</w:t>
      </w:r>
    </w:p>
    <w:p w14:paraId="33BCA54A" w14:textId="77777777" w:rsidR="00FC4EBD" w:rsidRDefault="00000000">
      <w:pPr>
        <w:pStyle w:val="BodyText"/>
        <w:rPr>
          <w:rFonts w:ascii="Calibri" w:hAnsi="Calibri"/>
          <w:lang w:val="en-US" w:eastAsia="zh-CN"/>
        </w:rPr>
      </w:pPr>
      <w:r>
        <w:rPr>
          <w:rFonts w:ascii="Calibri" w:hAnsi="Calibri"/>
        </w:rPr>
        <w:t>[7]</w:t>
      </w:r>
      <w:r>
        <w:rPr>
          <w:rFonts w:ascii="Calibri" w:hAnsi="Calibri"/>
          <w:b/>
          <w:bCs/>
          <w:lang w:val="en-US"/>
        </w:rPr>
        <w:t xml:space="preserve"> </w:t>
      </w:r>
      <w:r>
        <w:rPr>
          <w:rFonts w:ascii="Calibri" w:hAnsi="Calibri"/>
          <w:b/>
          <w:bCs/>
          <w:lang w:val="en-US"/>
        </w:rPr>
        <w:tab/>
        <w:t xml:space="preserve"> </w:t>
      </w:r>
      <w:r>
        <w:rPr>
          <w:rFonts w:ascii="Calibri" w:hAnsi="Calibri"/>
          <w:lang w:eastAsia="zh-CN"/>
        </w:rPr>
        <w:t>VTS56-12.3.3</w:t>
      </w:r>
      <w:r>
        <w:rPr>
          <w:rFonts w:ascii="Calibri" w:hAnsi="Calibri"/>
          <w:b/>
          <w:bCs/>
          <w:lang w:eastAsia="zh-CN"/>
        </w:rPr>
        <w:t xml:space="preserve"> </w:t>
      </w:r>
      <w:r>
        <w:rPr>
          <w:rFonts w:ascii="Calibri" w:hAnsi="Calibri"/>
          <w:lang w:val="en-US" w:eastAsia="zh-CN"/>
        </w:rPr>
        <w:t>Liaison Note to ARM on Roadmap for the S-200 Implementation Decade (2024-2034)</w:t>
      </w:r>
    </w:p>
    <w:p w14:paraId="671DD56E" w14:textId="77777777" w:rsidR="00FC4EBD" w:rsidRDefault="00000000">
      <w:pPr>
        <w:pStyle w:val="Heading1"/>
      </w:pPr>
      <w:r>
        <w:t>Background</w:t>
      </w:r>
    </w:p>
    <w:p w14:paraId="7E91DD16" w14:textId="77777777" w:rsidR="00FC4EBD" w:rsidRDefault="00000000">
      <w:pPr>
        <w:pStyle w:val="BodyText"/>
        <w:rPr>
          <w:rFonts w:ascii="Calibri" w:hAnsi="Calibri"/>
          <w:lang w:val="en-US" w:eastAsia="zh-CN"/>
        </w:rPr>
      </w:pPr>
      <w:r>
        <w:rPr>
          <w:rFonts w:ascii="Calibri" w:hAnsi="Calibri"/>
          <w:b/>
          <w:caps/>
          <w:color w:val="0070C0"/>
          <w:kern w:val="28"/>
          <w:lang w:val="en-US" w:eastAsia="zh-CN"/>
        </w:rPr>
        <w:t>2.1</w:t>
      </w:r>
      <w:r>
        <w:rPr>
          <w:rFonts w:ascii="Calibri" w:hAnsi="Calibri"/>
          <w:lang w:val="en-US" w:eastAsia="zh-CN"/>
        </w:rPr>
        <w:tab/>
      </w:r>
      <w:r>
        <w:rPr>
          <w:rFonts w:ascii="Calibri" w:hAnsi="Calibri"/>
          <w:lang w:val="en-US"/>
        </w:rPr>
        <w:t>The IALA VTS Committee Work Plan 2023-2027 raises the task”</w:t>
      </w:r>
      <w:r>
        <w:rPr>
          <w:rFonts w:ascii="Calibri" w:hAnsi="Calibri"/>
          <w:i/>
          <w:iCs/>
        </w:rPr>
        <w:t xml:space="preserve"> Development of technical service specifications for digital data exchange between VTS and other entities - primarily ships</w:t>
      </w:r>
      <w:r>
        <w:rPr>
          <w:rFonts w:ascii="Calibri" w:hAnsi="Calibri"/>
          <w:lang w:val="en-US"/>
        </w:rPr>
        <w:t xml:space="preserve">” (task 2.5.2), and aims to finalize the pioneer technical service specifications before VTS57. </w:t>
      </w:r>
      <w:r>
        <w:rPr>
          <w:rFonts w:ascii="Calibri" w:hAnsi="Calibri"/>
          <w:i/>
          <w:iCs/>
          <w:lang w:val="en-US"/>
        </w:rPr>
        <w:t xml:space="preserve">Service Specification for VTS Traffic </w:t>
      </w:r>
      <w:r>
        <w:rPr>
          <w:rFonts w:ascii="Calibri" w:hAnsi="Calibri"/>
          <w:i/>
          <w:iCs/>
          <w:lang w:val="en-US"/>
        </w:rPr>
        <w:lastRenderedPageBreak/>
        <w:t>Clearance Edition 1.4</w:t>
      </w:r>
      <w:r>
        <w:rPr>
          <w:rFonts w:ascii="Calibri" w:hAnsi="Calibri" w:hint="eastAsia"/>
          <w:lang w:val="en-US" w:eastAsia="zh-CN"/>
        </w:rPr>
        <w:t xml:space="preserve">, </w:t>
      </w:r>
      <w:r>
        <w:rPr>
          <w:rFonts w:ascii="Calibri" w:hAnsi="Calibri"/>
          <w:i/>
          <w:iCs/>
          <w:lang w:val="en-US"/>
        </w:rPr>
        <w:t>Service Design for VTS Traffic Clearance using SECOM Edition 1.1</w:t>
      </w:r>
      <w:r>
        <w:rPr>
          <w:rFonts w:ascii="Calibri" w:hAnsi="Calibri" w:hint="eastAsia"/>
          <w:i/>
          <w:iCs/>
          <w:lang w:val="en-US" w:eastAsia="zh-CN"/>
        </w:rPr>
        <w:t xml:space="preserve">, and </w:t>
      </w:r>
      <w:r>
        <w:rPr>
          <w:rFonts w:ascii="Calibri" w:hAnsi="Calibri"/>
          <w:i/>
          <w:iCs/>
          <w:lang w:val="en-US"/>
        </w:rPr>
        <w:t xml:space="preserve">Draft of Service Specification for VTS - Vessel Route Exchange Edition 0.3(working paper) </w:t>
      </w:r>
      <w:r>
        <w:rPr>
          <w:rFonts w:ascii="Calibri" w:hAnsi="Calibri"/>
          <w:lang w:val="en-US"/>
        </w:rPr>
        <w:t xml:space="preserve">had been finalized at VTS56 and the intersessional meeting. </w:t>
      </w:r>
      <w:r>
        <w:rPr>
          <w:rFonts w:ascii="Calibri" w:hAnsi="Calibri" w:hint="eastAsia"/>
          <w:lang w:val="en-US" w:eastAsia="zh-CN"/>
        </w:rPr>
        <w:t>T</w:t>
      </w:r>
      <w:r>
        <w:rPr>
          <w:rFonts w:ascii="Calibri" w:hAnsi="Calibri"/>
          <w:lang w:val="en-US"/>
        </w:rPr>
        <w:t xml:space="preserve">ask 2.5.2 indicated that all </w:t>
      </w:r>
      <w:r>
        <w:rPr>
          <w:rFonts w:ascii="Calibri" w:hAnsi="Calibri" w:hint="eastAsia"/>
          <w:lang w:val="en-US" w:eastAsia="zh-CN"/>
        </w:rPr>
        <w:t xml:space="preserve">the </w:t>
      </w:r>
      <w:r>
        <w:rPr>
          <w:rFonts w:ascii="Calibri" w:hAnsi="Calibri"/>
          <w:lang w:val="en-US"/>
        </w:rPr>
        <w:t>content of the Service Specification</w:t>
      </w:r>
      <w:r>
        <w:rPr>
          <w:rFonts w:ascii="Calibri" w:hAnsi="Calibri" w:hint="eastAsia"/>
          <w:lang w:val="en-US" w:eastAsia="zh-CN"/>
        </w:rPr>
        <w:t>s</w:t>
      </w:r>
      <w:r>
        <w:rPr>
          <w:rFonts w:ascii="Calibri" w:hAnsi="Calibri"/>
          <w:lang w:val="en-US"/>
        </w:rPr>
        <w:t xml:space="preserve"> would be open for discussion and welcome suggestions for revision.</w:t>
      </w:r>
    </w:p>
    <w:p w14:paraId="3CDB860F" w14:textId="77777777" w:rsidR="00FC4EBD" w:rsidRDefault="00000000">
      <w:pPr>
        <w:pStyle w:val="BodyText"/>
        <w:rPr>
          <w:rFonts w:ascii="Calibri" w:hAnsi="Calibri"/>
          <w:lang w:eastAsia="zh-CN"/>
        </w:rPr>
      </w:pPr>
      <w:r>
        <w:rPr>
          <w:rFonts w:ascii="Calibri" w:hAnsi="Calibri"/>
          <w:b/>
          <w:caps/>
          <w:color w:val="0070C0"/>
          <w:kern w:val="28"/>
          <w:lang w:val="en-US" w:eastAsia="zh-CN"/>
        </w:rPr>
        <w:t xml:space="preserve">2.2  </w:t>
      </w:r>
      <w:r>
        <w:rPr>
          <w:rFonts w:ascii="Calibri" w:hAnsi="Calibri"/>
          <w:lang w:val="en-US" w:eastAsia="zh-CN"/>
        </w:rPr>
        <w:t xml:space="preserve">   </w:t>
      </w:r>
      <w:r>
        <w:rPr>
          <w:rFonts w:ascii="Calibri" w:hAnsi="Calibri"/>
          <w:lang w:val="en-US"/>
        </w:rPr>
        <w:t>As the co-sponsor</w:t>
      </w:r>
      <w:r>
        <w:rPr>
          <w:rFonts w:ascii="Calibri" w:hAnsi="Calibri"/>
        </w:rPr>
        <w:t xml:space="preserve"> of</w:t>
      </w:r>
      <w:r>
        <w:rPr>
          <w:rFonts w:ascii="Calibri" w:hAnsi="Calibri"/>
          <w:lang w:val="en-US"/>
        </w:rPr>
        <w:t xml:space="preserve">  the new work task proposal (VTS 53-6.3.2) at  VTS53, China MSA continued to submit "</w:t>
      </w:r>
      <w:r>
        <w:rPr>
          <w:rFonts w:ascii="Calibri" w:hAnsi="Calibri"/>
        </w:rPr>
        <w:t xml:space="preserve"> </w:t>
      </w:r>
      <w:r>
        <w:rPr>
          <w:rFonts w:ascii="Calibri" w:hAnsi="Calibri" w:hint="eastAsia"/>
          <w:lang w:val="en-US" w:eastAsia="zh-CN"/>
        </w:rPr>
        <w:t>P</w:t>
      </w:r>
      <w:r>
        <w:rPr>
          <w:rFonts w:ascii="Calibri" w:hAnsi="Calibri"/>
          <w:lang w:val="en-US"/>
        </w:rPr>
        <w:t>roposals on the New Work Task of Developing Technical Service Specifications for Digital Data Exchange between VTS and Other Entities (VTS54 9.1.3) "</w:t>
      </w:r>
      <w:r>
        <w:rPr>
          <w:rFonts w:ascii="Calibri" w:hAnsi="Calibri"/>
        </w:rPr>
        <w:t xml:space="preserve"> </w:t>
      </w:r>
      <w:r>
        <w:rPr>
          <w:rFonts w:ascii="Calibri" w:hAnsi="Calibri"/>
          <w:lang w:val="en-US"/>
        </w:rPr>
        <w:t xml:space="preserve"> and "</w:t>
      </w:r>
      <w:r>
        <w:rPr>
          <w:rFonts w:ascii="Calibri" w:hAnsi="Calibri"/>
        </w:rPr>
        <w:t xml:space="preserve"> </w:t>
      </w:r>
      <w:r>
        <w:rPr>
          <w:rFonts w:ascii="Calibri" w:hAnsi="Calibri"/>
          <w:lang w:val="en-US"/>
        </w:rPr>
        <w:t>Draft of Service Specification for digital VTS Anchorage Assignment Service_V0.5" (VTS54 8.3.2 ) at VTS54</w:t>
      </w:r>
      <w:r>
        <w:rPr>
          <w:rFonts w:ascii="Calibri" w:hAnsi="Calibri" w:hint="eastAsia"/>
          <w:lang w:val="en-US" w:eastAsia="zh-CN"/>
        </w:rPr>
        <w:t xml:space="preserve">, </w:t>
      </w:r>
      <w:r>
        <w:rPr>
          <w:rFonts w:ascii="Calibri" w:hAnsi="Calibri"/>
          <w:lang w:val="en-US" w:eastAsia="zh-CN"/>
        </w:rPr>
        <w:t>“</w:t>
      </w:r>
      <w:r>
        <w:rPr>
          <w:rFonts w:ascii="Calibri" w:hAnsi="Calibri"/>
          <w:lang w:val="en-US"/>
        </w:rPr>
        <w:t>Proposals on the Service Specification for VTS Traffic Clearance Service_V1.0” (VTS55-9.1.1) at VTS55, and</w:t>
      </w:r>
      <w:r>
        <w:rPr>
          <w:rFonts w:ascii="Calibri" w:hAnsi="Calibri"/>
          <w:b/>
          <w:bCs/>
        </w:rPr>
        <w:t xml:space="preserve"> </w:t>
      </w:r>
      <w:r>
        <w:rPr>
          <w:rFonts w:ascii="Calibri" w:hAnsi="Calibri"/>
          <w:b/>
          <w:bCs/>
          <w:lang w:val="en-US" w:eastAsia="zh-CN"/>
        </w:rPr>
        <w:t>“</w:t>
      </w:r>
      <w:r>
        <w:rPr>
          <w:rFonts w:ascii="Calibri" w:hAnsi="Calibri"/>
          <w:lang w:val="en-US"/>
        </w:rPr>
        <w:t>Proposals on the Service Specification for VTS Traffic Clearance Service_V1.3</w:t>
      </w:r>
      <w:r>
        <w:rPr>
          <w:rFonts w:ascii="Calibri" w:hAnsi="Calibri" w:hint="eastAsia"/>
          <w:lang w:val="en-US" w:eastAsia="zh-CN"/>
        </w:rPr>
        <w:t xml:space="preserve"> </w:t>
      </w:r>
      <w:r>
        <w:rPr>
          <w:rFonts w:ascii="Calibri" w:hAnsi="Calibri"/>
          <w:lang w:val="en-US" w:eastAsia="zh-CN"/>
        </w:rPr>
        <w:t>and Service design"</w:t>
      </w:r>
      <w:r>
        <w:rPr>
          <w:rFonts w:ascii="Calibri" w:hAnsi="Calibri"/>
          <w:lang w:val="en-US"/>
        </w:rPr>
        <w:t xml:space="preserve"> (VTS56-9.1.1) at VTS56.</w:t>
      </w:r>
    </w:p>
    <w:p w14:paraId="4CB2CB09" w14:textId="77777777" w:rsidR="00FC4EBD" w:rsidRDefault="00000000">
      <w:pPr>
        <w:pStyle w:val="Heading1"/>
      </w:pPr>
      <w:r>
        <w:t>Discussion</w:t>
      </w:r>
    </w:p>
    <w:p w14:paraId="0223ED18" w14:textId="77777777" w:rsidR="00FC4EBD" w:rsidRDefault="00000000">
      <w:pPr>
        <w:pStyle w:val="Heading2"/>
        <w:tabs>
          <w:tab w:val="left" w:pos="567"/>
        </w:tabs>
        <w:rPr>
          <w:lang w:val="en-US" w:eastAsia="zh-CN"/>
        </w:rPr>
      </w:pPr>
      <w:bookmarkStart w:id="4" w:name="_Hlk170114292"/>
      <w:r>
        <w:t>Proposals on updating</w:t>
      </w:r>
      <w:r>
        <w:rPr>
          <w:rFonts w:hint="eastAsia"/>
        </w:rPr>
        <w:t xml:space="preserve"> </w:t>
      </w:r>
      <w:r>
        <w:t xml:space="preserve">use cases </w:t>
      </w:r>
      <w:r>
        <w:rPr>
          <w:rFonts w:hint="eastAsia"/>
          <w:lang w:val="en-US" w:eastAsia="zh-CN"/>
        </w:rPr>
        <w:t>for</w:t>
      </w:r>
      <w:r>
        <w:t xml:space="preserve"> VTS perspective</w:t>
      </w:r>
    </w:p>
    <w:bookmarkEnd w:id="4"/>
    <w:p w14:paraId="374B5682" w14:textId="77777777" w:rsidR="00FC4EBD" w:rsidRDefault="00000000">
      <w:pPr>
        <w:pStyle w:val="List1"/>
        <w:rPr>
          <w:rFonts w:asciiTheme="minorHAnsi" w:eastAsia="SimSun" w:hAnsiTheme="minorHAnsi"/>
          <w:lang w:val="en-US" w:eastAsia="zh-CN"/>
        </w:rPr>
      </w:pPr>
      <w:r>
        <w:rPr>
          <w:rFonts w:asciiTheme="minorHAnsi" w:hAnsiTheme="minorHAnsi"/>
          <w:lang w:val="en-US"/>
        </w:rPr>
        <w:t xml:space="preserve">According to VTS56-9.1.3 </w:t>
      </w:r>
      <w:r>
        <w:rPr>
          <w:rFonts w:asciiTheme="minorHAnsi" w:hAnsiTheme="minorHAnsi"/>
          <w:i/>
          <w:iCs/>
          <w:lang w:val="en-US"/>
        </w:rPr>
        <w:t>Liaison letter from IEC TC80-WG17 on the revision of the Route Plan (S-421, IEC 63173-1) and its exchange,</w:t>
      </w:r>
      <w:r>
        <w:rPr>
          <w:rFonts w:asciiTheme="minorHAnsi" w:hAnsiTheme="minorHAnsi"/>
        </w:rPr>
        <w:t xml:space="preserve"> </w:t>
      </w:r>
      <w:r>
        <w:rPr>
          <w:rFonts w:asciiTheme="minorHAnsi" w:hAnsiTheme="minorHAnsi"/>
          <w:lang w:val="en-US"/>
        </w:rPr>
        <w:t>IEC TC80/WG17 provides the guidelines for the shipborne user perspective. The guidelines for VTS (shore-side) perspective may be provided by IALA VTS committee.</w:t>
      </w:r>
    </w:p>
    <w:p w14:paraId="60429A2F" w14:textId="77777777" w:rsidR="00FC4EBD" w:rsidRDefault="00000000">
      <w:pPr>
        <w:pStyle w:val="List1"/>
        <w:rPr>
          <w:rFonts w:ascii="Calibri" w:eastAsia="SimSun" w:hAnsi="Calibri"/>
          <w:lang w:val="en-US" w:eastAsia="zh-CN"/>
        </w:rPr>
      </w:pPr>
      <w:r>
        <w:rPr>
          <w:rFonts w:ascii="Calibri" w:eastAsia="SimSun" w:hAnsi="Calibri"/>
          <w:lang w:val="en-US" w:eastAsia="zh-CN"/>
        </w:rPr>
        <w:t>China MSA has reviewed the existing use cases of the service specification from VTS perspective, and proposes to modify and update them as follows:</w:t>
      </w:r>
    </w:p>
    <w:p w14:paraId="7621EF90" w14:textId="77777777" w:rsidR="00FC4EBD" w:rsidRDefault="00000000">
      <w:pPr>
        <w:pStyle w:val="List1"/>
        <w:rPr>
          <w:rFonts w:ascii="Calibri" w:eastAsia="SimSun" w:hAnsi="Calibri"/>
          <w:lang w:val="en-US" w:eastAsia="zh-CN"/>
        </w:rPr>
      </w:pPr>
      <w:r>
        <w:rPr>
          <w:rFonts w:ascii="Calibri" w:eastAsia="SimSun" w:hAnsi="Calibri"/>
          <w:lang w:val="en-US" w:eastAsia="zh-CN"/>
        </w:rPr>
        <w:t xml:space="preserve"> Example of modification to User case 1 “Initial Sharing of the route from Vessel to VTS”:</w:t>
      </w:r>
    </w:p>
    <w:p w14:paraId="0EF05623" w14:textId="77777777" w:rsidR="00FC4EBD" w:rsidRDefault="00000000">
      <w:pPr>
        <w:pStyle w:val="List1indent1"/>
        <w:rPr>
          <w:rFonts w:ascii="Calibri" w:hAnsi="Calibri"/>
          <w:lang w:val="en" w:eastAsia="zh-CN"/>
        </w:rPr>
      </w:pPr>
      <w:r>
        <w:rPr>
          <w:rFonts w:ascii="Calibri" w:hAnsi="Calibri"/>
          <w:lang w:val="en" w:eastAsia="zh-CN"/>
        </w:rPr>
        <w:t xml:space="preserve"> Delete the contents in the typical sequence that are relevant to the ship-side perspective, i.e. “‘1. the route is planned in the planning station by the mariner; ‘ and  ‘2.Planning station crosschecks the route and upload route to the ECDIS/ECS. ‘”</w:t>
      </w:r>
    </w:p>
    <w:p w14:paraId="352522B4" w14:textId="77777777" w:rsidR="00FC4EBD" w:rsidRDefault="00000000">
      <w:pPr>
        <w:pStyle w:val="List1indent1"/>
        <w:rPr>
          <w:rFonts w:ascii="Calibri" w:hAnsi="Calibri"/>
          <w:lang w:val="en" w:eastAsia="zh-CN"/>
        </w:rPr>
      </w:pPr>
      <w:r>
        <w:rPr>
          <w:rFonts w:ascii="Calibri" w:hAnsi="Calibri" w:hint="eastAsia"/>
          <w:lang w:val="en-US" w:eastAsia="zh-CN"/>
        </w:rPr>
        <w:t>U</w:t>
      </w:r>
      <w:r>
        <w:rPr>
          <w:rFonts w:ascii="Calibri" w:hAnsi="Calibri"/>
          <w:lang w:val="en" w:eastAsia="zh-CN"/>
        </w:rPr>
        <w:t>pdate the content of typical sequence 3 to VTS perspective, i.e. “3.The on-board systems should send the route to the “Route Exchange Service” before departure, but the route must be shared at latest according to local rules should be updated as ” The 'route exchange service' receives the shared routes from the on-board systems and automatically performs validity checks such as route timeliness and compliance”;</w:t>
      </w:r>
    </w:p>
    <w:p w14:paraId="6CB130C0" w14:textId="77777777" w:rsidR="00FC4EBD" w:rsidRDefault="00000000">
      <w:pPr>
        <w:pStyle w:val="List1indent1"/>
        <w:rPr>
          <w:rFonts w:ascii="Calibri" w:hAnsi="Calibri"/>
          <w:lang w:val="en" w:eastAsia="zh-CN"/>
        </w:rPr>
      </w:pPr>
      <w:r>
        <w:rPr>
          <w:rFonts w:ascii="Calibri" w:hAnsi="Calibri"/>
          <w:lang w:val="en" w:eastAsia="zh-CN"/>
        </w:rPr>
        <w:t xml:space="preserve">Update the flowchart according to the new typical l sequence, delete the roles related to ship-side such as “Marine”, “Planning station”, “ECDIS”, etc., adjust the operational description of the use cases according to the VTS perspective, simplify the operation details of the ship-side, and avoid the duplication of or even confusion and inconsistency with the contents related to the IEC TC80/WG17 Ship-side Route Exchange Operation Guidelines as far as possible. </w:t>
      </w:r>
    </w:p>
    <w:p w14:paraId="64A81C06" w14:textId="77777777" w:rsidR="00FC4EBD" w:rsidRDefault="00000000">
      <w:pPr>
        <w:pStyle w:val="List1indent1"/>
        <w:numPr>
          <w:ilvl w:val="0"/>
          <w:numId w:val="0"/>
        </w:numPr>
        <w:ind w:left="567"/>
        <w:rPr>
          <w:lang w:val="en-US" w:eastAsia="zh-CN"/>
        </w:rPr>
      </w:pPr>
      <w:r>
        <w:rPr>
          <w:rFonts w:ascii="Calibri" w:hAnsi="Calibri"/>
          <w:lang w:val="en-US" w:eastAsia="zh-CN"/>
        </w:rPr>
        <w:t>It is recommended that use cases 2-6 be updated with reference to use case1, “</w:t>
      </w:r>
      <w:r>
        <w:t>Initial Sharing of the route from Vessel to VTS</w:t>
      </w:r>
      <w:r>
        <w:rPr>
          <w:rFonts w:ascii="Calibri" w:hAnsi="Calibri"/>
          <w:lang w:val="en-US" w:eastAsia="zh-CN"/>
        </w:rPr>
        <w:t>.”</w:t>
      </w:r>
    </w:p>
    <w:p w14:paraId="20481023" w14:textId="77777777" w:rsidR="00FC4EBD" w:rsidRDefault="00000000">
      <w:pPr>
        <w:pStyle w:val="Heading2"/>
        <w:tabs>
          <w:tab w:val="left" w:pos="567"/>
        </w:tabs>
        <w:rPr>
          <w:lang w:eastAsia="zh-CN"/>
        </w:rPr>
      </w:pPr>
      <w:r>
        <w:t>Proposals on updating use cases for operational service perspective</w:t>
      </w:r>
    </w:p>
    <w:p w14:paraId="079FCF28" w14:textId="77777777" w:rsidR="00FC4EBD" w:rsidRDefault="00000000">
      <w:pPr>
        <w:pStyle w:val="List1"/>
        <w:rPr>
          <w:rFonts w:ascii="Calibri" w:eastAsia="SimSun" w:hAnsi="Calibri"/>
          <w:lang w:val="en-US" w:eastAsia="zh-CN"/>
        </w:rPr>
      </w:pPr>
      <w:r>
        <w:rPr>
          <w:rFonts w:ascii="Calibri" w:eastAsia="SimSun" w:hAnsi="Calibri"/>
          <w:lang w:val="en-US" w:eastAsia="zh-CN"/>
        </w:rPr>
        <w:t xml:space="preserve">In accordance with VTS56-12.3.3,  </w:t>
      </w:r>
      <w:r>
        <w:rPr>
          <w:rFonts w:ascii="Calibri" w:eastAsia="SimSun" w:hAnsi="Calibri"/>
          <w:i/>
          <w:iCs/>
          <w:lang w:val="en-US" w:eastAsia="zh-CN"/>
        </w:rPr>
        <w:t>Liaison Note to ARM on Roadmap for the S-200 Implementation Decade (2024-2034)</w:t>
      </w:r>
      <w:r>
        <w:rPr>
          <w:rFonts w:ascii="Calibri" w:eastAsia="SimSun" w:hAnsi="Calibri"/>
          <w:lang w:val="en-US" w:eastAsia="zh-CN"/>
        </w:rPr>
        <w:t>, t</w:t>
      </w:r>
      <w:r>
        <w:rPr>
          <w:rFonts w:ascii="Calibri" w:hAnsi="Calibri"/>
          <w:lang w:val="en-US"/>
        </w:rPr>
        <w:t>he VTS Committee create</w:t>
      </w:r>
      <w:r>
        <w:rPr>
          <w:rFonts w:ascii="Calibri" w:hAnsi="Calibri" w:hint="eastAsia"/>
          <w:lang w:val="en-US" w:eastAsia="zh-CN"/>
        </w:rPr>
        <w:t>d</w:t>
      </w:r>
      <w:r>
        <w:rPr>
          <w:rFonts w:ascii="Calibri" w:hAnsi="Calibri"/>
          <w:lang w:val="en-US"/>
        </w:rPr>
        <w:t xml:space="preserve"> the Technical Services based on operational input, but th</w:t>
      </w:r>
      <w:r>
        <w:rPr>
          <w:rFonts w:ascii="Calibri" w:hAnsi="Calibri" w:hint="eastAsia"/>
          <w:lang w:val="en-US" w:eastAsia="zh-CN"/>
        </w:rPr>
        <w:t>o</w:t>
      </w:r>
      <w:r>
        <w:rPr>
          <w:rFonts w:ascii="Calibri" w:hAnsi="Calibri"/>
          <w:lang w:val="en-US"/>
        </w:rPr>
        <w:t xml:space="preserve">se are a pre-requisite to starting the work on the Technical Services, and not something they would create as a separate service layer in the development process. </w:t>
      </w:r>
      <w:r>
        <w:rPr>
          <w:rFonts w:ascii="Calibri" w:hAnsi="Calibri" w:hint="eastAsia"/>
          <w:lang w:val="en-US" w:eastAsia="zh-CN"/>
        </w:rPr>
        <w:t>They</w:t>
      </w:r>
      <w:r>
        <w:rPr>
          <w:rFonts w:ascii="Calibri" w:hAnsi="Calibri"/>
        </w:rPr>
        <w:t xml:space="preserve"> underst</w:t>
      </w:r>
      <w:r>
        <w:rPr>
          <w:rFonts w:ascii="Calibri" w:hAnsi="Calibri" w:hint="eastAsia"/>
          <w:lang w:val="en-US" w:eastAsia="zh-CN"/>
        </w:rPr>
        <w:t>oo</w:t>
      </w:r>
      <w:r>
        <w:rPr>
          <w:rFonts w:ascii="Calibri" w:hAnsi="Calibri"/>
        </w:rPr>
        <w:t xml:space="preserve">d </w:t>
      </w:r>
      <w:r>
        <w:rPr>
          <w:rFonts w:ascii="Calibri" w:hAnsi="Calibri"/>
          <w:lang w:val="en-US"/>
        </w:rPr>
        <w:t>the service levels are defined by IMO in MSC.467(101), th</w:t>
      </w:r>
      <w:r>
        <w:rPr>
          <w:rFonts w:ascii="Calibri" w:hAnsi="Calibri" w:hint="eastAsia"/>
          <w:lang w:val="en-US" w:eastAsia="zh-CN"/>
        </w:rPr>
        <w:t>o</w:t>
      </w:r>
      <w:r>
        <w:rPr>
          <w:rFonts w:ascii="Calibri" w:hAnsi="Calibri"/>
          <w:lang w:val="en-US"/>
        </w:rPr>
        <w:t xml:space="preserve">se are Maritime Services, Technical Services and Product Specifications. Adding operational service descriptions as a new service level will complicate the whole process for the development of S-200 services and relevant specifications. </w:t>
      </w:r>
      <w:r>
        <w:rPr>
          <w:rFonts w:ascii="Calibri" w:eastAsia="SimSun" w:hAnsi="Calibri"/>
          <w:lang w:val="en-US" w:eastAsia="zh-CN"/>
        </w:rPr>
        <w:t>However, a new operational service level had been added in</w:t>
      </w:r>
      <w:r>
        <w:rPr>
          <w:rFonts w:ascii="Calibri" w:eastAsia="SimSun" w:hAnsi="Calibri" w:hint="eastAsia"/>
          <w:lang w:val="en-US" w:eastAsia="zh-CN"/>
        </w:rPr>
        <w:t>to</w:t>
      </w:r>
      <w:r>
        <w:rPr>
          <w:rFonts w:ascii="Calibri" w:eastAsia="SimSun" w:hAnsi="Calibri"/>
          <w:lang w:val="en-US" w:eastAsia="zh-CN"/>
        </w:rPr>
        <w:t xml:space="preserve"> the VTS Technical Services use cases Annex (below) updated at the December intersession meeting in 2024, and five types of use cases for route exchange operational services are proposed, i.e., route reference service, route crosscheck service, route monitoring service, route reporting service, and slot management service.</w:t>
      </w:r>
    </w:p>
    <w:p w14:paraId="18DAED1A" w14:textId="77777777" w:rsidR="00FC4EBD" w:rsidRDefault="00000000">
      <w:pPr>
        <w:pStyle w:val="List1"/>
        <w:numPr>
          <w:ilvl w:val="0"/>
          <w:numId w:val="0"/>
        </w:numPr>
        <w:ind w:left="567" w:hanging="567"/>
        <w:jc w:val="center"/>
        <w:rPr>
          <w:rFonts w:ascii="Calibri" w:eastAsia="SimSun" w:hAnsi="Calibri"/>
          <w:lang w:val="en-US" w:eastAsia="zh-CN"/>
        </w:rPr>
      </w:pPr>
      <w:r>
        <w:rPr>
          <w:noProof/>
          <w:sz w:val="18"/>
        </w:rPr>
        <w:lastRenderedPageBreak/>
        <w:drawing>
          <wp:inline distT="0" distB="0" distL="0" distR="0" wp14:anchorId="2B46EF03" wp14:editId="5B4C1E94">
            <wp:extent cx="6177280" cy="3474720"/>
            <wp:effectExtent l="0" t="0" r="0" b="0"/>
            <wp:docPr id="19574904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047" name="Kuva 1"/>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6192015" cy="3482819"/>
                    </a:xfrm>
                    <a:prstGeom prst="rect">
                      <a:avLst/>
                    </a:prstGeom>
                  </pic:spPr>
                </pic:pic>
              </a:graphicData>
            </a:graphic>
          </wp:inline>
        </w:drawing>
      </w:r>
    </w:p>
    <w:p w14:paraId="21C6C16F" w14:textId="77777777" w:rsidR="00FC4EBD" w:rsidRDefault="00000000">
      <w:pPr>
        <w:pStyle w:val="List1"/>
        <w:rPr>
          <w:rFonts w:ascii="Calibri" w:eastAsia="SimSun" w:hAnsi="Calibri"/>
          <w:lang w:val="en-US" w:eastAsia="zh-CN"/>
        </w:rPr>
      </w:pPr>
      <w:r>
        <w:rPr>
          <w:rFonts w:ascii="Calibri" w:eastAsia="SimSun" w:hAnsi="Calibri"/>
          <w:lang w:val="en-US" w:eastAsia="zh-CN"/>
        </w:rPr>
        <w:t xml:space="preserve">The working paper has proposed </w:t>
      </w:r>
      <w:r>
        <w:rPr>
          <w:rFonts w:ascii="Calibri" w:eastAsia="SimSun" w:hAnsi="Calibri" w:hint="eastAsia"/>
          <w:lang w:val="en-US" w:eastAsia="zh-CN"/>
        </w:rPr>
        <w:t>10</w:t>
      </w:r>
      <w:r>
        <w:rPr>
          <w:rFonts w:ascii="Calibri" w:eastAsia="SimSun" w:hAnsi="Calibri"/>
          <w:lang w:val="en-US" w:eastAsia="zh-CN"/>
        </w:rPr>
        <w:t xml:space="preserve"> use cases, including Initial Sharing of the route from Vessel to VTS, VTS gives route recommendation to vessel within a geographically defined area,</w:t>
      </w:r>
      <w:r>
        <w:t xml:space="preserve"> </w:t>
      </w:r>
      <w:r>
        <w:rPr>
          <w:rFonts w:ascii="Calibri" w:eastAsia="SimSun" w:hAnsi="Calibri"/>
          <w:lang w:val="en-US" w:eastAsia="zh-CN"/>
        </w:rPr>
        <w:t>VTS REQUESTS ROUTE from vessel,</w:t>
      </w:r>
      <w:r>
        <w:t xml:space="preserve"> </w:t>
      </w:r>
      <w:r>
        <w:rPr>
          <w:rFonts w:ascii="Calibri" w:eastAsia="SimSun" w:hAnsi="Calibri"/>
          <w:lang w:val="en-US" w:eastAsia="zh-CN"/>
        </w:rPr>
        <w:t>Vessel´s route changes,</w:t>
      </w:r>
      <w:r>
        <w:t xml:space="preserve"> </w:t>
      </w:r>
      <w:r>
        <w:rPr>
          <w:rFonts w:ascii="Calibri" w:eastAsia="SimSun" w:hAnsi="Calibri"/>
          <w:lang w:val="en-US" w:eastAsia="zh-CN"/>
        </w:rPr>
        <w:t>Vessel does not arrive to VTS area as planned,</w:t>
      </w:r>
      <w:r>
        <w:t xml:space="preserve"> </w:t>
      </w:r>
      <w:r>
        <w:rPr>
          <w:rFonts w:ascii="Calibri" w:eastAsia="SimSun" w:hAnsi="Calibri"/>
          <w:lang w:val="en-US" w:eastAsia="zh-CN"/>
        </w:rPr>
        <w:t>VTS approves the route</w:t>
      </w:r>
      <w:r>
        <w:rPr>
          <w:rFonts w:ascii="Calibri" w:eastAsia="SimSun" w:hAnsi="Calibri" w:hint="eastAsia"/>
          <w:lang w:val="en-US" w:eastAsia="zh-CN"/>
        </w:rPr>
        <w:t>,</w:t>
      </w:r>
      <w:r>
        <w:rPr>
          <w:rFonts w:ascii="Calibri" w:eastAsia="SimSun" w:hAnsi="Calibri"/>
          <w:lang w:val="en-US" w:eastAsia="zh-CN"/>
        </w:rPr>
        <w:t xml:space="preserve"> </w:t>
      </w:r>
      <w:r>
        <w:rPr>
          <w:rFonts w:ascii="Calibri" w:eastAsia="SimSun" w:hAnsi="Calibri" w:hint="eastAsia"/>
          <w:lang w:val="en-US" w:eastAsia="zh-CN"/>
        </w:rPr>
        <w:t>etc</w:t>
      </w:r>
      <w:r>
        <w:rPr>
          <w:rFonts w:ascii="Calibri" w:eastAsia="SimSun" w:hAnsi="Calibri"/>
          <w:lang w:val="en-US" w:eastAsia="zh-CN"/>
        </w:rPr>
        <w:t>. Only “route crosscheck” operational level service had been referenced.</w:t>
      </w:r>
    </w:p>
    <w:p w14:paraId="60F781A2" w14:textId="77777777" w:rsidR="00FC4EBD" w:rsidRDefault="00000000">
      <w:pPr>
        <w:pStyle w:val="List1"/>
        <w:rPr>
          <w:rFonts w:ascii="Calibri" w:eastAsia="SimSun" w:hAnsi="Calibri"/>
          <w:lang w:val="en-US" w:eastAsia="zh-CN"/>
        </w:rPr>
      </w:pPr>
      <w:r>
        <w:rPr>
          <w:rFonts w:ascii="Calibri" w:eastAsia="SimSun" w:hAnsi="Calibri"/>
          <w:lang w:val="en-US" w:eastAsia="zh-CN"/>
        </w:rPr>
        <w:t>Considering that operational level services such as route reference service, route crosscheck service, route monitoring service, route reporting service, and slot management service are carried through the typical sequence of each use case, e.g. “VTS gives route recommendation to vessel within a geographically defined area” would refer to the route reference service, and use case of “Vessel´s route changes” would refer to the route monitoring service</w:t>
      </w:r>
      <w:r>
        <w:rPr>
          <w:rFonts w:ascii="Calibri" w:eastAsia="SimSun" w:hAnsi="Calibri" w:hint="eastAsia"/>
          <w:lang w:val="en-US" w:eastAsia="zh-CN"/>
        </w:rPr>
        <w:t>.</w:t>
      </w:r>
      <w:r>
        <w:rPr>
          <w:rFonts w:ascii="Calibri" w:eastAsia="SimSun" w:hAnsi="Calibri"/>
          <w:lang w:val="en-US" w:eastAsia="zh-CN"/>
        </w:rPr>
        <w:t xml:space="preserve"> It is recommended to update the descriptions of all the use cases with reference to the latest operational service level according to the intersessional meeting on December 19,</w:t>
      </w:r>
      <w:r>
        <w:rPr>
          <w:rFonts w:ascii="Calibri" w:eastAsia="SimSun" w:hAnsi="Calibri" w:hint="eastAsia"/>
          <w:lang w:val="en-US" w:eastAsia="zh-CN"/>
        </w:rPr>
        <w:t xml:space="preserve"> </w:t>
      </w:r>
      <w:r>
        <w:rPr>
          <w:rFonts w:ascii="Calibri" w:eastAsia="SimSun" w:hAnsi="Calibri"/>
          <w:lang w:val="en-US" w:eastAsia="zh-CN"/>
        </w:rPr>
        <w:t>2024.</w:t>
      </w:r>
    </w:p>
    <w:p w14:paraId="12351A8B" w14:textId="77777777" w:rsidR="00FC4EBD" w:rsidRDefault="00000000">
      <w:pPr>
        <w:pStyle w:val="Heading2"/>
        <w:tabs>
          <w:tab w:val="left" w:pos="567"/>
        </w:tabs>
        <w:rPr>
          <w:lang w:val="en-US" w:eastAsia="zh-CN"/>
        </w:rPr>
      </w:pPr>
      <w:r>
        <w:t>Proposals on updating</w:t>
      </w:r>
      <w:r>
        <w:rPr>
          <w:rFonts w:hint="eastAsia"/>
        </w:rPr>
        <w:t xml:space="preserve"> </w:t>
      </w:r>
      <w:r>
        <w:t xml:space="preserve">functional requirements and key attributes according to IEC S-421  </w:t>
      </w:r>
    </w:p>
    <w:p w14:paraId="1A47EF2F" w14:textId="77777777" w:rsidR="00FC4EBD" w:rsidRDefault="00000000">
      <w:pPr>
        <w:pStyle w:val="List1"/>
        <w:jc w:val="left"/>
        <w:rPr>
          <w:rFonts w:asciiTheme="minorHAnsi" w:eastAsia="SimSun" w:hAnsiTheme="minorHAnsi"/>
          <w:lang w:val="en-US" w:eastAsia="zh-CN"/>
        </w:rPr>
      </w:pPr>
      <w:r>
        <w:rPr>
          <w:rFonts w:asciiTheme="minorHAnsi" w:eastAsia="SimSun" w:hAnsiTheme="minorHAnsi"/>
          <w:lang w:eastAsia="zh-CN"/>
        </w:rPr>
        <w:t>With reference to the descriptions of S-421 7.2.8 on turn radius and leg of waypoints, it is recommended the description of radius in RESF007 of this working paper, i.e. “All waypoints must have a non-zero turn radius”, should be added “Except for the first and last waypoints, which can be zero (0,0)”, in order to take into account the special case of the first and last waypoints.</w:t>
      </w:r>
    </w:p>
    <w:p w14:paraId="54AFA9C0" w14:textId="77777777" w:rsidR="00FC4EBD" w:rsidRDefault="00000000">
      <w:pPr>
        <w:pStyle w:val="List1"/>
        <w:jc w:val="left"/>
        <w:rPr>
          <w:rFonts w:asciiTheme="minorHAnsi" w:eastAsia="SimSun" w:hAnsiTheme="minorHAnsi"/>
          <w:lang w:eastAsia="zh-CN"/>
        </w:rPr>
      </w:pPr>
      <w:r>
        <w:rPr>
          <w:rFonts w:asciiTheme="minorHAnsi" w:eastAsia="SimSun" w:hAnsiTheme="minorHAnsi"/>
          <w:lang w:eastAsia="zh-CN"/>
        </w:rPr>
        <w:t>With reference to S-421, the description of ETA in use cases 3.1.2 “Changing the ETA to a specific waypoint” might inaccurate, and the nautical practice is likely to change the attributes such as ETD or SOG, etc.</w:t>
      </w:r>
      <w:r>
        <w:rPr>
          <w:rFonts w:asciiTheme="minorHAnsi" w:eastAsia="SimSun" w:hAnsiTheme="minorHAnsi"/>
          <w:lang w:val="en" w:eastAsia="zh-CN"/>
        </w:rPr>
        <w:t>as well.</w:t>
      </w:r>
      <w:r>
        <w:rPr>
          <w:rFonts w:asciiTheme="minorHAnsi" w:eastAsia="SimSun" w:hAnsiTheme="minorHAnsi"/>
          <w:lang w:eastAsia="zh-CN"/>
        </w:rPr>
        <w:t xml:space="preserve"> It is recommended that ETA should be changed to </w:t>
      </w:r>
      <w:r>
        <w:rPr>
          <w:rFonts w:asciiTheme="minorHAnsi" w:eastAsia="SimSun" w:hAnsiTheme="minorHAnsi"/>
          <w:lang w:val="en" w:eastAsia="zh-CN"/>
        </w:rPr>
        <w:t>“</w:t>
      </w:r>
      <w:r>
        <w:rPr>
          <w:rFonts w:asciiTheme="minorHAnsi" w:eastAsia="SimSun" w:hAnsiTheme="minorHAnsi"/>
          <w:lang w:eastAsia="zh-CN"/>
        </w:rPr>
        <w:t>schedule</w:t>
      </w:r>
      <w:r>
        <w:rPr>
          <w:rFonts w:asciiTheme="minorHAnsi" w:eastAsia="SimSun" w:hAnsiTheme="minorHAnsi"/>
          <w:lang w:val="en" w:eastAsia="zh-CN"/>
        </w:rPr>
        <w:t>”</w:t>
      </w:r>
      <w:r>
        <w:rPr>
          <w:rFonts w:asciiTheme="minorHAnsi" w:eastAsia="SimSun" w:hAnsiTheme="minorHAnsi"/>
          <w:lang w:eastAsia="zh-CN"/>
        </w:rPr>
        <w:t xml:space="preserve"> in the working paper.</w:t>
      </w:r>
    </w:p>
    <w:p w14:paraId="7210161F" w14:textId="77777777" w:rsidR="00FC4EBD" w:rsidRDefault="00000000">
      <w:pPr>
        <w:pStyle w:val="List1"/>
        <w:jc w:val="left"/>
        <w:rPr>
          <w:rFonts w:asciiTheme="minorHAnsi" w:eastAsia="SimSun" w:hAnsiTheme="minorHAnsi"/>
          <w:lang w:eastAsia="zh-CN"/>
        </w:rPr>
      </w:pPr>
      <w:r>
        <w:rPr>
          <w:rFonts w:asciiTheme="minorHAnsi" w:eastAsia="SimSun" w:hAnsiTheme="minorHAnsi"/>
          <w:lang w:eastAsia="zh-CN"/>
        </w:rPr>
        <w:t xml:space="preserve"> With reference to S-421, it is recommended that this working paper should update the descriptions of the functional requirements RESF001, RESF002 and RESF005 as follows:</w:t>
      </w:r>
    </w:p>
    <w:p w14:paraId="6E2D8843" w14:textId="77777777" w:rsidR="00FC4EBD" w:rsidRDefault="00000000">
      <w:pPr>
        <w:pStyle w:val="List1indent1"/>
        <w:rPr>
          <w:lang w:eastAsia="zh-CN"/>
        </w:rPr>
      </w:pPr>
      <w:r>
        <w:rPr>
          <w:rFonts w:ascii="Calibri" w:hAnsi="Calibri"/>
          <w:lang w:val="en" w:eastAsia="zh-CN"/>
        </w:rPr>
        <w:t>I</w:t>
      </w:r>
      <w:r>
        <w:rPr>
          <w:rFonts w:ascii="Calibri" w:hAnsi="Calibri"/>
          <w:lang w:eastAsia="zh-CN"/>
        </w:rPr>
        <w:t xml:space="preserve">t is </w:t>
      </w:r>
      <w:r>
        <w:rPr>
          <w:rFonts w:ascii="Calibri" w:hAnsi="Calibri"/>
          <w:lang w:val="en-US" w:eastAsia="zh-CN"/>
        </w:rPr>
        <w:t>recommended</w:t>
      </w:r>
      <w:r>
        <w:rPr>
          <w:rFonts w:ascii="Calibri" w:hAnsi="Calibri"/>
          <w:lang w:eastAsia="zh-CN"/>
        </w:rPr>
        <w:t xml:space="preserve"> to </w:t>
      </w:r>
      <w:r>
        <w:rPr>
          <w:rFonts w:ascii="Calibri" w:hAnsi="Calibri"/>
          <w:lang w:val="en" w:eastAsia="zh-CN"/>
        </w:rPr>
        <w:t>update</w:t>
      </w:r>
      <w:r>
        <w:rPr>
          <w:rFonts w:ascii="Calibri" w:hAnsi="Calibri"/>
          <w:lang w:eastAsia="zh-CN"/>
        </w:rPr>
        <w:t xml:space="preserve"> the following four descriptions of “receive</w:t>
      </w:r>
      <w:r>
        <w:rPr>
          <w:rFonts w:ascii="Calibri" w:hAnsi="Calibri"/>
          <w:lang w:val="en" w:eastAsia="zh-CN"/>
        </w:rPr>
        <w:t xml:space="preserve"> or </w:t>
      </w:r>
      <w:r>
        <w:rPr>
          <w:rFonts w:ascii="Calibri" w:hAnsi="Calibri"/>
          <w:lang w:eastAsia="zh-CN"/>
        </w:rPr>
        <w:t>send route” to “receive</w:t>
      </w:r>
      <w:r>
        <w:rPr>
          <w:rFonts w:ascii="Calibri" w:hAnsi="Calibri"/>
          <w:lang w:val="en" w:eastAsia="zh-CN"/>
        </w:rPr>
        <w:t xml:space="preserve"> or </w:t>
      </w:r>
      <w:r>
        <w:rPr>
          <w:rFonts w:ascii="Calibri" w:hAnsi="Calibri"/>
          <w:lang w:eastAsia="zh-CN"/>
        </w:rPr>
        <w:t>send</w:t>
      </w:r>
      <w:r>
        <w:rPr>
          <w:rFonts w:ascii="Calibri" w:hAnsi="Calibri"/>
          <w:lang w:val="en" w:eastAsia="zh-CN"/>
        </w:rPr>
        <w:t xml:space="preserve"> </w:t>
      </w:r>
      <w:r>
        <w:rPr>
          <w:rFonts w:ascii="Calibri" w:hAnsi="Calibri"/>
          <w:lang w:eastAsia="zh-CN"/>
        </w:rPr>
        <w:t>route/update route</w:t>
      </w:r>
      <w:r>
        <w:rPr>
          <w:rFonts w:ascii="Calibri" w:hAnsi="Calibri"/>
          <w:lang w:val="en" w:eastAsia="zh-CN"/>
        </w:rPr>
        <w:t>/</w:t>
      </w:r>
      <w:r>
        <w:rPr>
          <w:rFonts w:ascii="Calibri" w:hAnsi="Calibri"/>
          <w:lang w:eastAsia="zh-CN"/>
        </w:rPr>
        <w:t>route cancellation” in RESF001;</w:t>
      </w:r>
    </w:p>
    <w:p w14:paraId="63D16CD9" w14:textId="77777777" w:rsidR="00FC4EBD" w:rsidRDefault="00000000">
      <w:pPr>
        <w:pStyle w:val="List1"/>
        <w:numPr>
          <w:ilvl w:val="0"/>
          <w:numId w:val="0"/>
        </w:numPr>
        <w:ind w:left="567" w:hanging="567"/>
        <w:jc w:val="center"/>
      </w:pPr>
      <w:r>
        <w:rPr>
          <w:noProof/>
        </w:rPr>
        <w:lastRenderedPageBreak/>
        <w:drawing>
          <wp:inline distT="0" distB="0" distL="0" distR="0" wp14:anchorId="123E0177" wp14:editId="6FCAE2B5">
            <wp:extent cx="4471035" cy="1536065"/>
            <wp:effectExtent l="0" t="0" r="571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477603" cy="1538683"/>
                    </a:xfrm>
                    <a:prstGeom prst="rect">
                      <a:avLst/>
                    </a:prstGeom>
                  </pic:spPr>
                </pic:pic>
              </a:graphicData>
            </a:graphic>
          </wp:inline>
        </w:drawing>
      </w:r>
    </w:p>
    <w:p w14:paraId="74499A12" w14:textId="77777777" w:rsidR="00FC4EBD" w:rsidRDefault="00000000">
      <w:pPr>
        <w:pStyle w:val="List1indent1"/>
        <w:tabs>
          <w:tab w:val="clear" w:pos="567"/>
          <w:tab w:val="clear" w:pos="1134"/>
          <w:tab w:val="left" w:pos="1135"/>
        </w:tabs>
        <w:ind w:left="1134"/>
        <w:rPr>
          <w:rFonts w:ascii="Calibri" w:hAnsi="Calibri"/>
          <w:lang w:eastAsia="zh-CN"/>
        </w:rPr>
      </w:pPr>
      <w:r>
        <w:rPr>
          <w:rFonts w:ascii="Calibri" w:hAnsi="Calibri"/>
          <w:lang w:val="en" w:eastAsia="zh-CN"/>
        </w:rPr>
        <w:t>I</w:t>
      </w:r>
      <w:r>
        <w:rPr>
          <w:rFonts w:ascii="Calibri" w:hAnsi="Calibri"/>
          <w:lang w:eastAsia="zh-CN"/>
        </w:rPr>
        <w:t xml:space="preserve">t is recommended to </w:t>
      </w:r>
      <w:r>
        <w:rPr>
          <w:rFonts w:ascii="Calibri" w:hAnsi="Calibri"/>
          <w:lang w:val="en" w:eastAsia="zh-CN"/>
        </w:rPr>
        <w:t>update</w:t>
      </w:r>
      <w:r>
        <w:rPr>
          <w:rFonts w:ascii="Calibri" w:hAnsi="Calibri"/>
          <w:lang w:eastAsia="zh-CN"/>
        </w:rPr>
        <w:t xml:space="preserve"> the following three descriptions of “recommendation” to “recommendation</w:t>
      </w:r>
      <w:r>
        <w:rPr>
          <w:rFonts w:ascii="Calibri" w:hAnsi="Calibri"/>
          <w:lang w:val="en" w:eastAsia="zh-CN"/>
        </w:rPr>
        <w:t xml:space="preserve"> </w:t>
      </w:r>
      <w:r>
        <w:rPr>
          <w:rFonts w:ascii="Calibri" w:hAnsi="Calibri"/>
          <w:lang w:eastAsia="zh-CN"/>
        </w:rPr>
        <w:t>or/and comments” in RESF002;</w:t>
      </w:r>
    </w:p>
    <w:p w14:paraId="46A88B31" w14:textId="77777777" w:rsidR="00FC4EBD" w:rsidRDefault="00000000">
      <w:pPr>
        <w:pStyle w:val="List1indent1"/>
        <w:numPr>
          <w:ilvl w:val="0"/>
          <w:numId w:val="0"/>
        </w:numPr>
        <w:ind w:left="1134"/>
        <w:jc w:val="left"/>
        <w:rPr>
          <w:rFonts w:ascii="Calibri" w:hAnsi="Calibri"/>
          <w:lang w:eastAsia="zh-CN"/>
        </w:rPr>
      </w:pPr>
      <w:r>
        <w:rPr>
          <w:noProof/>
        </w:rPr>
        <w:drawing>
          <wp:inline distT="0" distB="0" distL="0" distR="0" wp14:anchorId="55682799" wp14:editId="17C3FD83">
            <wp:extent cx="4535805" cy="15525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548760" cy="1556999"/>
                    </a:xfrm>
                    <a:prstGeom prst="rect">
                      <a:avLst/>
                    </a:prstGeom>
                  </pic:spPr>
                </pic:pic>
              </a:graphicData>
            </a:graphic>
          </wp:inline>
        </w:drawing>
      </w:r>
    </w:p>
    <w:p w14:paraId="4AF0AAF2" w14:textId="77777777" w:rsidR="00FC4EBD" w:rsidRDefault="00000000">
      <w:pPr>
        <w:pStyle w:val="List1indent1"/>
        <w:tabs>
          <w:tab w:val="clear" w:pos="567"/>
        </w:tabs>
        <w:ind w:left="1134"/>
        <w:jc w:val="left"/>
        <w:rPr>
          <w:rFonts w:ascii="Calibri" w:hAnsi="Calibri"/>
          <w:lang w:eastAsia="zh-CN"/>
        </w:rPr>
      </w:pPr>
      <w:r>
        <w:rPr>
          <w:rFonts w:ascii="Calibri" w:hAnsi="Calibri"/>
          <w:lang w:val="en" w:eastAsia="zh-CN"/>
        </w:rPr>
        <w:t>I</w:t>
      </w:r>
      <w:r>
        <w:rPr>
          <w:rFonts w:ascii="Calibri" w:hAnsi="Calibri"/>
          <w:lang w:eastAsia="zh-CN"/>
        </w:rPr>
        <w:t>t is recommended to add the following four descriptions in RESF005;</w:t>
      </w:r>
    </w:p>
    <w:p w14:paraId="0DDADF15" w14:textId="77777777" w:rsidR="00FC4EBD" w:rsidRDefault="00000000">
      <w:pPr>
        <w:pStyle w:val="List1"/>
        <w:numPr>
          <w:ilvl w:val="0"/>
          <w:numId w:val="0"/>
        </w:numPr>
        <w:ind w:left="567" w:hanging="567"/>
        <w:jc w:val="center"/>
      </w:pPr>
      <w:r>
        <w:rPr>
          <w:noProof/>
        </w:rPr>
        <w:drawing>
          <wp:inline distT="0" distB="0" distL="0" distR="0" wp14:anchorId="54E157C4" wp14:editId="63F0D77D">
            <wp:extent cx="3876675" cy="170243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3882126" cy="1704623"/>
                    </a:xfrm>
                    <a:prstGeom prst="rect">
                      <a:avLst/>
                    </a:prstGeom>
                  </pic:spPr>
                </pic:pic>
              </a:graphicData>
            </a:graphic>
          </wp:inline>
        </w:drawing>
      </w:r>
    </w:p>
    <w:p w14:paraId="20ACE1F4" w14:textId="77777777" w:rsidR="00FC4EBD" w:rsidRDefault="00000000">
      <w:pPr>
        <w:pStyle w:val="Heading2"/>
        <w:rPr>
          <w:lang w:val="en-US" w:eastAsia="zh-CN"/>
        </w:rPr>
      </w:pPr>
      <w:r>
        <w:rPr>
          <w:lang w:eastAsia="zh-CN"/>
        </w:rPr>
        <w:t>Proposals on</w:t>
      </w:r>
      <w:r>
        <w:rPr>
          <w:lang w:val="en-US" w:eastAsia="zh-CN"/>
        </w:rPr>
        <w:t xml:space="preserve"> editorial </w:t>
      </w:r>
      <w:r>
        <w:rPr>
          <w:lang w:eastAsia="zh-CN"/>
        </w:rPr>
        <w:t>changes</w:t>
      </w:r>
    </w:p>
    <w:p w14:paraId="2364FF65" w14:textId="77777777" w:rsidR="00FC4EBD" w:rsidRDefault="00000000">
      <w:pPr>
        <w:pStyle w:val="List1"/>
        <w:rPr>
          <w:rFonts w:ascii="Calibri" w:eastAsia="SimSun" w:hAnsi="Calibri"/>
          <w:lang w:val="en-US" w:eastAsia="zh-CN"/>
        </w:rPr>
      </w:pPr>
      <w:r>
        <w:rPr>
          <w:rFonts w:ascii="Calibri" w:eastAsia="SimSun" w:hAnsi="Calibri"/>
          <w:lang w:val="en-US" w:eastAsia="zh-CN"/>
        </w:rPr>
        <w:t>China MSA had reviewed th</w:t>
      </w:r>
      <w:r>
        <w:rPr>
          <w:rFonts w:ascii="Calibri" w:eastAsia="SimSun" w:hAnsi="Calibri"/>
          <w:lang w:val="en" w:eastAsia="zh-CN"/>
        </w:rPr>
        <w:t>e</w:t>
      </w:r>
      <w:r>
        <w:rPr>
          <w:rFonts w:ascii="Calibri" w:eastAsia="SimSun" w:hAnsi="Calibri"/>
          <w:lang w:val="en-US" w:eastAsia="zh-CN"/>
        </w:rPr>
        <w:t xml:space="preserve"> working paper and recommended the following editorial changes to the text:</w:t>
      </w:r>
    </w:p>
    <w:p w14:paraId="74A6908B" w14:textId="77777777" w:rsidR="00FC4EBD" w:rsidRDefault="00000000">
      <w:pPr>
        <w:pStyle w:val="List1indent1"/>
        <w:rPr>
          <w:rFonts w:ascii="Calibri" w:hAnsi="Calibri"/>
          <w:lang w:eastAsia="zh-CN"/>
        </w:rPr>
      </w:pPr>
      <w:r>
        <w:rPr>
          <w:rFonts w:ascii="Calibri" w:hAnsi="Calibri"/>
          <w:lang w:eastAsia="zh-CN"/>
        </w:rPr>
        <w:t>Version 0.2 should be updated to 0.3 in “2 Service Identification”</w:t>
      </w:r>
      <w:r>
        <w:rPr>
          <w:rFonts w:ascii="Calibri" w:hAnsi="Calibri" w:hint="eastAsia"/>
          <w:lang w:eastAsia="zh-CN"/>
        </w:rPr>
        <w:t>;</w:t>
      </w:r>
    </w:p>
    <w:p w14:paraId="35040FF2" w14:textId="77777777" w:rsidR="00FC4EBD" w:rsidRDefault="00000000">
      <w:pPr>
        <w:pStyle w:val="List1indent1"/>
        <w:rPr>
          <w:rFonts w:ascii="Calibri" w:hAnsi="Calibri"/>
          <w:lang w:eastAsia="zh-CN"/>
        </w:rPr>
      </w:pPr>
      <w:r>
        <w:rPr>
          <w:rFonts w:ascii="Calibri" w:hAnsi="Calibri"/>
          <w:lang w:eastAsia="zh-CN"/>
        </w:rPr>
        <w:t>“It its envisioned” should be updated to “It is envisioned” in 3.1 User cases</w:t>
      </w:r>
      <w:r>
        <w:rPr>
          <w:rFonts w:ascii="Calibri" w:hAnsi="Calibri" w:hint="eastAsia"/>
          <w:lang w:eastAsia="zh-CN"/>
        </w:rPr>
        <w:t>;</w:t>
      </w:r>
    </w:p>
    <w:p w14:paraId="77E47CAB" w14:textId="77777777" w:rsidR="00FC4EBD" w:rsidRDefault="00000000">
      <w:pPr>
        <w:pStyle w:val="List1indent1"/>
        <w:rPr>
          <w:rFonts w:ascii="Calibri" w:hAnsi="Calibri"/>
          <w:lang w:eastAsia="zh-CN"/>
        </w:rPr>
      </w:pPr>
      <w:r>
        <w:rPr>
          <w:rFonts w:ascii="Calibri" w:hAnsi="Calibri"/>
          <w:lang w:eastAsia="zh-CN"/>
        </w:rPr>
        <w:t>“service specification” should be updated to “Service Specification”, according to the appendix A of the technical service specification template of the October 2024 output G1128 version 1.6.</w:t>
      </w:r>
    </w:p>
    <w:p w14:paraId="138FB073" w14:textId="77777777" w:rsidR="00FC4EBD" w:rsidRDefault="00000000">
      <w:pPr>
        <w:pStyle w:val="List1"/>
        <w:rPr>
          <w:rFonts w:ascii="Calibri" w:eastAsia="SimSun" w:hAnsi="Calibri"/>
          <w:lang w:val="en-US" w:eastAsia="zh-CN"/>
        </w:rPr>
      </w:pPr>
      <w:r>
        <w:rPr>
          <w:rFonts w:ascii="Calibri" w:eastAsia="SimSun" w:hAnsi="Calibri"/>
          <w:lang w:val="en-US" w:eastAsia="zh-CN"/>
        </w:rPr>
        <w:t xml:space="preserve">The following updates are proposed for the </w:t>
      </w:r>
      <w:r>
        <w:rPr>
          <w:rFonts w:ascii="Calibri" w:eastAsia="SimSun" w:hAnsi="Calibri"/>
          <w:lang w:val="en" w:eastAsia="zh-CN"/>
        </w:rPr>
        <w:t>“</w:t>
      </w:r>
      <w:r>
        <w:rPr>
          <w:rFonts w:ascii="Calibri" w:eastAsia="SimSun" w:hAnsi="Calibri"/>
          <w:lang w:val="en-US" w:eastAsia="zh-CN"/>
        </w:rPr>
        <w:t>7 references</w:t>
      </w:r>
      <w:r>
        <w:rPr>
          <w:rFonts w:ascii="Calibri" w:eastAsia="SimSun" w:hAnsi="Calibri"/>
          <w:lang w:val="en" w:eastAsia="zh-CN"/>
        </w:rPr>
        <w:t>”</w:t>
      </w:r>
      <w:r>
        <w:rPr>
          <w:rFonts w:ascii="Calibri" w:eastAsia="SimSun" w:hAnsi="Calibri"/>
          <w:lang w:val="en-US" w:eastAsia="zh-CN"/>
        </w:rPr>
        <w:t>:</w:t>
      </w:r>
    </w:p>
    <w:p w14:paraId="0A70D6DD" w14:textId="77777777" w:rsidR="00FC4EBD" w:rsidRDefault="00000000">
      <w:pPr>
        <w:pStyle w:val="List1indent1"/>
        <w:rPr>
          <w:rFonts w:ascii="Calibri" w:hAnsi="Calibri"/>
          <w:lang w:eastAsia="zh-CN"/>
        </w:rPr>
      </w:pPr>
      <w:r>
        <w:rPr>
          <w:rFonts w:ascii="Calibri" w:hAnsi="Calibri"/>
          <w:lang w:val="en-US" w:eastAsia="zh-CN"/>
        </w:rPr>
        <w:t>G1128 has been updated to version 1.6 at the October 2024 DTEC3</w:t>
      </w:r>
      <w:r>
        <w:rPr>
          <w:rFonts w:ascii="Calibri" w:hAnsi="Calibri" w:hint="eastAsia"/>
          <w:lang w:val="en-US" w:eastAsia="zh-CN"/>
        </w:rPr>
        <w:t>;</w:t>
      </w:r>
    </w:p>
    <w:p w14:paraId="25EFA0C6" w14:textId="77777777" w:rsidR="00FC4EBD" w:rsidRDefault="00000000">
      <w:pPr>
        <w:pStyle w:val="List1indent1"/>
        <w:tabs>
          <w:tab w:val="clear" w:pos="1134"/>
          <w:tab w:val="left" w:pos="1135"/>
        </w:tabs>
        <w:rPr>
          <w:rFonts w:ascii="Calibri" w:hAnsi="Calibri"/>
          <w:lang w:val="en-US" w:eastAsia="zh-CN"/>
        </w:rPr>
      </w:pPr>
      <w:r>
        <w:rPr>
          <w:rFonts w:ascii="Calibri" w:hAnsi="Calibri"/>
          <w:lang w:val="en-US" w:eastAsia="zh-CN"/>
        </w:rPr>
        <w:t>It is recommended to add references to IMO MSC.530(106)REV.1 and MSC.1CIRC.1610REV.1.</w:t>
      </w:r>
    </w:p>
    <w:p w14:paraId="74F78027" w14:textId="77777777" w:rsidR="00FC4EBD" w:rsidRDefault="00000000">
      <w:pPr>
        <w:pStyle w:val="List1"/>
        <w:rPr>
          <w:rFonts w:ascii="SimSun" w:eastAsia="SimSun" w:hAnsi="SimSun"/>
        </w:rPr>
      </w:pPr>
      <w:r>
        <w:rPr>
          <w:rFonts w:ascii="Calibri" w:eastAsia="SimSun" w:hAnsi="Calibri"/>
          <w:lang w:eastAsia="zh-CN"/>
        </w:rPr>
        <w:t xml:space="preserve"> “RTA/RTD” and “UUID” in “8.1 Acronyms” are not found in the body of the working paper, they are proposed to be deleted.</w:t>
      </w:r>
    </w:p>
    <w:p w14:paraId="55FC4929" w14:textId="77777777" w:rsidR="00FC4EBD" w:rsidRDefault="00000000">
      <w:pPr>
        <w:pStyle w:val="Heading1"/>
      </w:pPr>
      <w:r>
        <w:t>References</w:t>
      </w:r>
    </w:p>
    <w:p w14:paraId="4A8F8070" w14:textId="77777777" w:rsidR="00FC4EBD" w:rsidRDefault="00000000">
      <w:pPr>
        <w:pStyle w:val="References"/>
        <w:numPr>
          <w:ilvl w:val="0"/>
          <w:numId w:val="16"/>
        </w:numPr>
        <w:rPr>
          <w:rFonts w:asciiTheme="minorHAnsi" w:hAnsiTheme="minorHAnsi"/>
          <w:lang w:eastAsia="zh-CN"/>
        </w:rPr>
      </w:pPr>
      <w:bookmarkStart w:id="5" w:name="_Hlk170115232"/>
      <w:r>
        <w:rPr>
          <w:rFonts w:asciiTheme="minorHAnsi" w:hAnsiTheme="minorHAnsi"/>
          <w:lang w:eastAsia="zh-CN"/>
        </w:rPr>
        <w:t xml:space="preserve">IALA G1128 </w:t>
      </w:r>
      <w:r>
        <w:rPr>
          <w:rFonts w:asciiTheme="minorHAnsi" w:hAnsiTheme="minorHAnsi"/>
          <w:i/>
          <w:iCs/>
          <w:lang w:eastAsia="zh-CN"/>
        </w:rPr>
        <w:t>Revised G1128 Specification of e-Navigation Technical Services Ed1.6</w:t>
      </w:r>
    </w:p>
    <w:p w14:paraId="7E3F1AA8" w14:textId="77777777" w:rsidR="00FC4EBD" w:rsidRDefault="00000000">
      <w:pPr>
        <w:pStyle w:val="References"/>
        <w:numPr>
          <w:ilvl w:val="0"/>
          <w:numId w:val="16"/>
        </w:numPr>
        <w:rPr>
          <w:rFonts w:asciiTheme="minorHAnsi" w:hAnsiTheme="minorHAnsi"/>
          <w:szCs w:val="22"/>
          <w:lang w:val="en-US" w:eastAsia="zh-CN"/>
        </w:rPr>
      </w:pPr>
      <w:r>
        <w:rPr>
          <w:rFonts w:asciiTheme="minorHAnsi" w:hAnsiTheme="minorHAnsi"/>
        </w:rPr>
        <w:lastRenderedPageBreak/>
        <w:t xml:space="preserve">IMO </w:t>
      </w:r>
      <w:r>
        <w:rPr>
          <w:rFonts w:asciiTheme="minorHAnsi" w:hAnsiTheme="minorHAnsi"/>
          <w:szCs w:val="22"/>
          <w:lang w:val="en-US" w:eastAsia="zh-CN"/>
        </w:rPr>
        <w:t>Resolution MSC.530(106) REV.1</w:t>
      </w:r>
      <w:r>
        <w:rPr>
          <w:rFonts w:asciiTheme="minorHAnsi" w:hAnsiTheme="minorHAnsi" w:cstheme="minorHAnsi"/>
          <w:i/>
          <w:iCs/>
          <w:lang w:val="en-US"/>
        </w:rPr>
        <w:t xml:space="preserve"> ECDIS Performance Standard</w:t>
      </w:r>
      <w:r>
        <w:rPr>
          <w:rFonts w:asciiTheme="minorHAnsi" w:hAnsiTheme="minorHAnsi"/>
          <w:szCs w:val="22"/>
          <w:lang w:val="en-US" w:eastAsia="zh-CN"/>
        </w:rPr>
        <w:t xml:space="preserve"> </w:t>
      </w:r>
    </w:p>
    <w:p w14:paraId="55EE944B" w14:textId="77777777" w:rsidR="00FC4EBD" w:rsidRDefault="00000000">
      <w:pPr>
        <w:pStyle w:val="References"/>
        <w:rPr>
          <w:rFonts w:asciiTheme="minorHAnsi" w:hAnsiTheme="minorHAnsi"/>
          <w:szCs w:val="22"/>
          <w:lang w:val="en-US" w:eastAsia="zh-CN"/>
        </w:rPr>
      </w:pPr>
      <w:r>
        <w:rPr>
          <w:rFonts w:asciiTheme="minorHAnsi" w:hAnsiTheme="minorHAnsi"/>
          <w:szCs w:val="22"/>
          <w:lang w:val="en-US" w:eastAsia="zh-CN"/>
        </w:rPr>
        <w:t>IMO MSC.1CIRC.1610REV.1 DESCRIPTIONS OF MARITIME SERVICES IN THE CONTEXT OF E-NAVIGATION</w:t>
      </w:r>
    </w:p>
    <w:p w14:paraId="3CBBE56D" w14:textId="77777777" w:rsidR="00FC4EBD" w:rsidRDefault="00000000">
      <w:pPr>
        <w:pStyle w:val="References"/>
        <w:rPr>
          <w:rFonts w:asciiTheme="minorHAnsi" w:hAnsiTheme="minorHAnsi"/>
          <w:szCs w:val="22"/>
          <w:lang w:val="en-US" w:eastAsia="zh-CN"/>
        </w:rPr>
      </w:pPr>
      <w:r>
        <w:rPr>
          <w:rFonts w:asciiTheme="minorHAnsi" w:hAnsiTheme="minorHAnsi"/>
          <w:szCs w:val="22"/>
          <w:lang w:val="en-US" w:eastAsia="zh-CN"/>
        </w:rPr>
        <w:t xml:space="preserve">IEC 63173-1:2021 </w:t>
      </w:r>
      <w:r>
        <w:rPr>
          <w:rFonts w:asciiTheme="minorHAnsi" w:hAnsiTheme="minorHAnsi"/>
          <w:lang w:val="en-US" w:eastAsia="zh-CN"/>
        </w:rPr>
        <w:t>Maritime navigation and radio</w:t>
      </w:r>
      <w:r>
        <w:rPr>
          <w:rFonts w:asciiTheme="minorHAnsi" w:hAnsiTheme="minorHAnsi" w:hint="eastAsia"/>
          <w:lang w:val="en-US" w:eastAsia="zh-CN"/>
        </w:rPr>
        <w:t xml:space="preserve"> </w:t>
      </w:r>
      <w:r>
        <w:rPr>
          <w:rFonts w:asciiTheme="minorHAnsi" w:hAnsiTheme="minorHAnsi"/>
          <w:lang w:val="en-US" w:eastAsia="zh-CN"/>
        </w:rPr>
        <w:t xml:space="preserve">communication equipment and systems – Data interface – Part 1: S-421 route </w:t>
      </w:r>
      <w:r>
        <w:rPr>
          <w:rFonts w:asciiTheme="minorHAnsi" w:hAnsiTheme="minorHAnsi" w:cs="SimSun"/>
          <w:color w:val="000000"/>
          <w:szCs w:val="22"/>
          <w:lang w:val="en-US" w:eastAsia="zh-CN"/>
        </w:rPr>
        <w:t>plan based on S-100</w:t>
      </w:r>
    </w:p>
    <w:bookmarkEnd w:id="5"/>
    <w:p w14:paraId="0F5D5AD2" w14:textId="77777777" w:rsidR="00FC4EBD" w:rsidRDefault="00000000">
      <w:pPr>
        <w:pStyle w:val="Heading1"/>
      </w:pPr>
      <w:r>
        <w:t>Action requested of the Committee</w:t>
      </w:r>
    </w:p>
    <w:p w14:paraId="0B71E410" w14:textId="77777777" w:rsidR="00FC4EBD" w:rsidRDefault="00000000">
      <w:pPr>
        <w:pStyle w:val="BodyText"/>
        <w:rPr>
          <w:rFonts w:ascii="Calibri" w:hAnsi="Calibri"/>
          <w:b/>
          <w:caps/>
          <w:color w:val="0070C0"/>
          <w:kern w:val="28"/>
          <w:sz w:val="24"/>
          <w:lang w:eastAsia="de-DE"/>
        </w:rPr>
      </w:pPr>
      <w:r>
        <w:rPr>
          <w:rFonts w:ascii="Calibri" w:hAnsi="Calibri"/>
          <w:lang w:val="en-US"/>
        </w:rPr>
        <w:t>The Committee is requested to consider the proposals in this document and take actions as appropriate.</w:t>
      </w:r>
    </w:p>
    <w:sectPr w:rsidR="00FC4EBD">
      <w:headerReference w:type="even" r:id="rId13"/>
      <w:headerReference w:type="default" r:id="rId14"/>
      <w:footerReference w:type="default" r:id="rId15"/>
      <w:head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B8D6" w14:textId="77777777" w:rsidR="00C05C4A" w:rsidRDefault="00C05C4A">
      <w:r>
        <w:separator/>
      </w:r>
    </w:p>
  </w:endnote>
  <w:endnote w:type="continuationSeparator" w:id="0">
    <w:p w14:paraId="5D9FD8AA" w14:textId="77777777" w:rsidR="00C05C4A" w:rsidRDefault="00C0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2EF3" w14:textId="77777777" w:rsidR="00FC4EBD" w:rsidRDefault="00000000">
    <w:pPr>
      <w:pStyle w:val="Footer"/>
      <w:rPr>
        <w:rFonts w:ascii="Calibri" w:hAnsi="Calibri"/>
      </w:rPr>
    </w:pPr>
    <w:r>
      <w:rPr>
        <w:rFonts w:ascii="Calibri" w:hAnsi="Calibri"/>
        <w:sz w:val="20"/>
        <w:szCs w:val="20"/>
      </w:rPr>
      <w:t>Proposals on the “Service Specification for VTS - Vessel Route Exchange Edition 0.3”</w:t>
    </w: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E6F0" w14:textId="77777777" w:rsidR="00C05C4A" w:rsidRDefault="00C05C4A">
      <w:r>
        <w:separator/>
      </w:r>
    </w:p>
  </w:footnote>
  <w:footnote w:type="continuationSeparator" w:id="0">
    <w:p w14:paraId="0D88EF2F" w14:textId="77777777" w:rsidR="00C05C4A" w:rsidRDefault="00C05C4A">
      <w:r>
        <w:continuationSeparator/>
      </w:r>
    </w:p>
  </w:footnote>
  <w:footnote w:id="1">
    <w:p w14:paraId="68111B90" w14:textId="77777777" w:rsidR="00FC4EBD" w:rsidRDefault="00000000">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735B6396" w14:textId="77777777" w:rsidR="00FC4EBD" w:rsidRDefault="00000000">
      <w:pPr>
        <w:pStyle w:val="FootnoteText"/>
      </w:pPr>
      <w:r>
        <w:rPr>
          <w:rStyle w:val="FootnoteReference"/>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2A2" w14:textId="7E3CC3CC" w:rsidR="00FC4EBD" w:rsidRDefault="00FC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93C4" w14:textId="7C305993" w:rsidR="00FC4EBD" w:rsidRDefault="00000000">
    <w:pPr>
      <w:pStyle w:val="Header"/>
      <w:jc w:val="right"/>
    </w:pPr>
    <w:r>
      <w:rPr>
        <w:noProof/>
      </w:rPr>
      <w:drawing>
        <wp:anchor distT="0" distB="0" distL="114300" distR="114300" simplePos="0" relativeHeight="251655680" behindDoc="0" locked="0" layoutInCell="1" allowOverlap="1" wp14:anchorId="1DF413D8" wp14:editId="37AA0E26">
          <wp:simplePos x="0" y="0"/>
          <wp:positionH relativeFrom="column">
            <wp:posOffset>5447030</wp:posOffset>
          </wp:positionH>
          <wp:positionV relativeFrom="paragraph">
            <wp:posOffset>-427990</wp:posOffset>
          </wp:positionV>
          <wp:extent cx="574675" cy="56007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8F50" w14:textId="77777777" w:rsidR="00FC4EBD" w:rsidRDefault="00000000">
    <w:pPr>
      <w:pStyle w:val="Header"/>
      <w:jc w:val="center"/>
    </w:pPr>
    <w:r>
      <w:rPr>
        <w:noProof/>
      </w:rPr>
      <w:drawing>
        <wp:anchor distT="0" distB="0" distL="114300" distR="114300" simplePos="0" relativeHeight="251656704" behindDoc="0" locked="0" layoutInCell="1" allowOverlap="1" wp14:anchorId="6578BBF0" wp14:editId="63CED1B5">
          <wp:simplePos x="0" y="0"/>
          <wp:positionH relativeFrom="column">
            <wp:posOffset>2522855</wp:posOffset>
          </wp:positionH>
          <wp:positionV relativeFrom="paragraph">
            <wp:posOffset>-405130</wp:posOffset>
          </wp:positionV>
          <wp:extent cx="852805" cy="8312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5B22F642" w14:textId="77777777" w:rsidR="00FC4EBD" w:rsidRDefault="00FC4EBD">
    <w:pPr>
      <w:pStyle w:val="Header"/>
      <w:jc w:val="center"/>
    </w:pPr>
  </w:p>
  <w:p w14:paraId="674E281A" w14:textId="4D7E3825" w:rsidR="00FC4EBD" w:rsidRDefault="00FC4E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1985"/>
        </w:tabs>
        <w:ind w:left="1985"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5"/>
        </w:tabs>
        <w:ind w:left="1135"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53125552">
    <w:abstractNumId w:val="2"/>
  </w:num>
  <w:num w:numId="2" w16cid:durableId="627399581">
    <w:abstractNumId w:val="12"/>
  </w:num>
  <w:num w:numId="3" w16cid:durableId="910695955">
    <w:abstractNumId w:val="8"/>
  </w:num>
  <w:num w:numId="4" w16cid:durableId="873736255">
    <w:abstractNumId w:val="1"/>
  </w:num>
  <w:num w:numId="5" w16cid:durableId="1972708949">
    <w:abstractNumId w:val="14"/>
  </w:num>
  <w:num w:numId="6" w16cid:durableId="839658708">
    <w:abstractNumId w:val="10"/>
  </w:num>
  <w:num w:numId="7" w16cid:durableId="402677484">
    <w:abstractNumId w:val="9"/>
  </w:num>
  <w:num w:numId="8" w16cid:durableId="1869249330">
    <w:abstractNumId w:val="7"/>
  </w:num>
  <w:num w:numId="9" w16cid:durableId="1834029013">
    <w:abstractNumId w:val="13"/>
  </w:num>
  <w:num w:numId="10" w16cid:durableId="1390760374">
    <w:abstractNumId w:val="6"/>
  </w:num>
  <w:num w:numId="11" w16cid:durableId="115410371">
    <w:abstractNumId w:val="11"/>
  </w:num>
  <w:num w:numId="12" w16cid:durableId="1311593979">
    <w:abstractNumId w:val="3"/>
  </w:num>
  <w:num w:numId="13" w16cid:durableId="2032485114">
    <w:abstractNumId w:val="4"/>
  </w:num>
  <w:num w:numId="14" w16cid:durableId="1453399677">
    <w:abstractNumId w:val="5"/>
  </w:num>
  <w:num w:numId="15" w16cid:durableId="445201262">
    <w:abstractNumId w:val="0"/>
  </w:num>
  <w:num w:numId="16" w16cid:durableId="1224296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BFBBE950"/>
    <w:rsid w:val="D7D7B6E1"/>
    <w:rsid w:val="D7F7CB47"/>
    <w:rsid w:val="DBDFAE4C"/>
    <w:rsid w:val="DDFDA7FC"/>
    <w:rsid w:val="EC5DF143"/>
    <w:rsid w:val="FD71E97F"/>
    <w:rsid w:val="FF36C103"/>
    <w:rsid w:val="000005D3"/>
    <w:rsid w:val="000010B0"/>
    <w:rsid w:val="000049D8"/>
    <w:rsid w:val="00004ABF"/>
    <w:rsid w:val="0001070A"/>
    <w:rsid w:val="00036A03"/>
    <w:rsid w:val="00036B9E"/>
    <w:rsid w:val="00037DF4"/>
    <w:rsid w:val="0004700E"/>
    <w:rsid w:val="00070C13"/>
    <w:rsid w:val="000715C9"/>
    <w:rsid w:val="00084F33"/>
    <w:rsid w:val="0009644D"/>
    <w:rsid w:val="000A2309"/>
    <w:rsid w:val="000A77A7"/>
    <w:rsid w:val="000B1707"/>
    <w:rsid w:val="000C056A"/>
    <w:rsid w:val="000C1B3E"/>
    <w:rsid w:val="000C1BC1"/>
    <w:rsid w:val="000C349E"/>
    <w:rsid w:val="000D18B5"/>
    <w:rsid w:val="000D6612"/>
    <w:rsid w:val="000D7749"/>
    <w:rsid w:val="000E138F"/>
    <w:rsid w:val="000E7A89"/>
    <w:rsid w:val="000F2584"/>
    <w:rsid w:val="000F72BA"/>
    <w:rsid w:val="00110AE7"/>
    <w:rsid w:val="00110C3F"/>
    <w:rsid w:val="001217C5"/>
    <w:rsid w:val="00146E5F"/>
    <w:rsid w:val="00147F5B"/>
    <w:rsid w:val="0015025F"/>
    <w:rsid w:val="00177F4D"/>
    <w:rsid w:val="00180DDA"/>
    <w:rsid w:val="0018209D"/>
    <w:rsid w:val="00184C8C"/>
    <w:rsid w:val="00195F4D"/>
    <w:rsid w:val="001B2A2D"/>
    <w:rsid w:val="001B737D"/>
    <w:rsid w:val="001C44A3"/>
    <w:rsid w:val="001D497E"/>
    <w:rsid w:val="001E0E15"/>
    <w:rsid w:val="001F528A"/>
    <w:rsid w:val="001F704E"/>
    <w:rsid w:val="00200241"/>
    <w:rsid w:val="00201722"/>
    <w:rsid w:val="002125B0"/>
    <w:rsid w:val="00215BC5"/>
    <w:rsid w:val="00230D88"/>
    <w:rsid w:val="00243228"/>
    <w:rsid w:val="00247C5E"/>
    <w:rsid w:val="00251483"/>
    <w:rsid w:val="00255CAA"/>
    <w:rsid w:val="00264305"/>
    <w:rsid w:val="0029706B"/>
    <w:rsid w:val="002A0346"/>
    <w:rsid w:val="002A4487"/>
    <w:rsid w:val="002A7262"/>
    <w:rsid w:val="002B49E9"/>
    <w:rsid w:val="002C632E"/>
    <w:rsid w:val="002C71F9"/>
    <w:rsid w:val="002D3E8B"/>
    <w:rsid w:val="002D4575"/>
    <w:rsid w:val="002D48DC"/>
    <w:rsid w:val="002D5C0C"/>
    <w:rsid w:val="002E03D1"/>
    <w:rsid w:val="002E265B"/>
    <w:rsid w:val="002E6B74"/>
    <w:rsid w:val="002E6FCA"/>
    <w:rsid w:val="003039D6"/>
    <w:rsid w:val="00340193"/>
    <w:rsid w:val="00353BD7"/>
    <w:rsid w:val="00356CD0"/>
    <w:rsid w:val="00362CD9"/>
    <w:rsid w:val="003703A8"/>
    <w:rsid w:val="003761CA"/>
    <w:rsid w:val="00380DAF"/>
    <w:rsid w:val="003972CE"/>
    <w:rsid w:val="003B28F5"/>
    <w:rsid w:val="003B7B7D"/>
    <w:rsid w:val="003C2A77"/>
    <w:rsid w:val="003C4FF0"/>
    <w:rsid w:val="003C54CB"/>
    <w:rsid w:val="003C7A2A"/>
    <w:rsid w:val="003D2DC1"/>
    <w:rsid w:val="003D69D0"/>
    <w:rsid w:val="003F2918"/>
    <w:rsid w:val="003F430E"/>
    <w:rsid w:val="0041088C"/>
    <w:rsid w:val="00412DD0"/>
    <w:rsid w:val="0041482C"/>
    <w:rsid w:val="00420A38"/>
    <w:rsid w:val="00431B19"/>
    <w:rsid w:val="00432203"/>
    <w:rsid w:val="004373CC"/>
    <w:rsid w:val="00451E06"/>
    <w:rsid w:val="00453DC9"/>
    <w:rsid w:val="00461AE9"/>
    <w:rsid w:val="004661AD"/>
    <w:rsid w:val="00476D19"/>
    <w:rsid w:val="004A6C1D"/>
    <w:rsid w:val="004D1D85"/>
    <w:rsid w:val="004D3C3A"/>
    <w:rsid w:val="004E1CD1"/>
    <w:rsid w:val="004F7EFC"/>
    <w:rsid w:val="005053B5"/>
    <w:rsid w:val="005107EB"/>
    <w:rsid w:val="00521345"/>
    <w:rsid w:val="00526DF0"/>
    <w:rsid w:val="00545CC4"/>
    <w:rsid w:val="00551FFF"/>
    <w:rsid w:val="005607A2"/>
    <w:rsid w:val="0056675F"/>
    <w:rsid w:val="0057198B"/>
    <w:rsid w:val="00573CFE"/>
    <w:rsid w:val="00590E05"/>
    <w:rsid w:val="005969F2"/>
    <w:rsid w:val="00597995"/>
    <w:rsid w:val="00597FAE"/>
    <w:rsid w:val="005A361B"/>
    <w:rsid w:val="005B32A3"/>
    <w:rsid w:val="005B4762"/>
    <w:rsid w:val="005B4F43"/>
    <w:rsid w:val="005C0D44"/>
    <w:rsid w:val="005C566C"/>
    <w:rsid w:val="005C7E69"/>
    <w:rsid w:val="005E262D"/>
    <w:rsid w:val="005F23D3"/>
    <w:rsid w:val="005F7E20"/>
    <w:rsid w:val="00605E43"/>
    <w:rsid w:val="00610078"/>
    <w:rsid w:val="006153BB"/>
    <w:rsid w:val="00624475"/>
    <w:rsid w:val="00640417"/>
    <w:rsid w:val="006652C3"/>
    <w:rsid w:val="00670ADA"/>
    <w:rsid w:val="00691FD0"/>
    <w:rsid w:val="00692148"/>
    <w:rsid w:val="00694ADF"/>
    <w:rsid w:val="006A1A1E"/>
    <w:rsid w:val="006B18CE"/>
    <w:rsid w:val="006C5948"/>
    <w:rsid w:val="006F2A74"/>
    <w:rsid w:val="006F3FA2"/>
    <w:rsid w:val="006F784D"/>
    <w:rsid w:val="007000D4"/>
    <w:rsid w:val="007118F5"/>
    <w:rsid w:val="00712AA4"/>
    <w:rsid w:val="007146C4"/>
    <w:rsid w:val="00717593"/>
    <w:rsid w:val="00721AA1"/>
    <w:rsid w:val="00724B67"/>
    <w:rsid w:val="00744D1F"/>
    <w:rsid w:val="007547F8"/>
    <w:rsid w:val="00765622"/>
    <w:rsid w:val="00770B6C"/>
    <w:rsid w:val="00783FEA"/>
    <w:rsid w:val="007A0AEA"/>
    <w:rsid w:val="007A395D"/>
    <w:rsid w:val="007B066F"/>
    <w:rsid w:val="007B10E9"/>
    <w:rsid w:val="007B6BD5"/>
    <w:rsid w:val="007C1FAE"/>
    <w:rsid w:val="007C346C"/>
    <w:rsid w:val="007D0709"/>
    <w:rsid w:val="007E6479"/>
    <w:rsid w:val="007F48AD"/>
    <w:rsid w:val="007F63F6"/>
    <w:rsid w:val="0080294B"/>
    <w:rsid w:val="00806F19"/>
    <w:rsid w:val="0082480E"/>
    <w:rsid w:val="00832B2B"/>
    <w:rsid w:val="00845A56"/>
    <w:rsid w:val="00850293"/>
    <w:rsid w:val="00851373"/>
    <w:rsid w:val="008518A2"/>
    <w:rsid w:val="00851BA6"/>
    <w:rsid w:val="00853263"/>
    <w:rsid w:val="0085654D"/>
    <w:rsid w:val="00861160"/>
    <w:rsid w:val="0086654F"/>
    <w:rsid w:val="00874BD6"/>
    <w:rsid w:val="00885F1D"/>
    <w:rsid w:val="008A356F"/>
    <w:rsid w:val="008A4653"/>
    <w:rsid w:val="008A4717"/>
    <w:rsid w:val="008A50CC"/>
    <w:rsid w:val="008A6D99"/>
    <w:rsid w:val="008B3040"/>
    <w:rsid w:val="008C13F1"/>
    <w:rsid w:val="008C2899"/>
    <w:rsid w:val="008C2CD7"/>
    <w:rsid w:val="008C51F1"/>
    <w:rsid w:val="008C7C54"/>
    <w:rsid w:val="008D1694"/>
    <w:rsid w:val="008D73A5"/>
    <w:rsid w:val="008D79CB"/>
    <w:rsid w:val="008F07BC"/>
    <w:rsid w:val="008F7353"/>
    <w:rsid w:val="00904F3F"/>
    <w:rsid w:val="0092692B"/>
    <w:rsid w:val="00930561"/>
    <w:rsid w:val="00943E9C"/>
    <w:rsid w:val="00953F4D"/>
    <w:rsid w:val="00955871"/>
    <w:rsid w:val="0095705C"/>
    <w:rsid w:val="00960BB8"/>
    <w:rsid w:val="00964F5C"/>
    <w:rsid w:val="009709DA"/>
    <w:rsid w:val="00973B57"/>
    <w:rsid w:val="00975900"/>
    <w:rsid w:val="009831C0"/>
    <w:rsid w:val="00986372"/>
    <w:rsid w:val="0099161D"/>
    <w:rsid w:val="009957D6"/>
    <w:rsid w:val="009B137A"/>
    <w:rsid w:val="009C0CC7"/>
    <w:rsid w:val="009C2FE6"/>
    <w:rsid w:val="009D4B72"/>
    <w:rsid w:val="009E3C39"/>
    <w:rsid w:val="009F600E"/>
    <w:rsid w:val="00A0389B"/>
    <w:rsid w:val="00A23DD2"/>
    <w:rsid w:val="00A27C48"/>
    <w:rsid w:val="00A33A3C"/>
    <w:rsid w:val="00A366B6"/>
    <w:rsid w:val="00A446C9"/>
    <w:rsid w:val="00A635D6"/>
    <w:rsid w:val="00A64717"/>
    <w:rsid w:val="00A8553A"/>
    <w:rsid w:val="00A93AED"/>
    <w:rsid w:val="00AA658A"/>
    <w:rsid w:val="00AB5283"/>
    <w:rsid w:val="00AB5D3D"/>
    <w:rsid w:val="00AB6FBD"/>
    <w:rsid w:val="00AD507D"/>
    <w:rsid w:val="00AD6ADD"/>
    <w:rsid w:val="00AE1319"/>
    <w:rsid w:val="00AE34BB"/>
    <w:rsid w:val="00B226F2"/>
    <w:rsid w:val="00B274DF"/>
    <w:rsid w:val="00B45D85"/>
    <w:rsid w:val="00B55CF3"/>
    <w:rsid w:val="00B56BDF"/>
    <w:rsid w:val="00B628EC"/>
    <w:rsid w:val="00B65812"/>
    <w:rsid w:val="00B76CD7"/>
    <w:rsid w:val="00B85CD6"/>
    <w:rsid w:val="00B90A27"/>
    <w:rsid w:val="00B94262"/>
    <w:rsid w:val="00B9554D"/>
    <w:rsid w:val="00BA4820"/>
    <w:rsid w:val="00BB2B9F"/>
    <w:rsid w:val="00BB4D89"/>
    <w:rsid w:val="00BB7D9E"/>
    <w:rsid w:val="00BC2334"/>
    <w:rsid w:val="00BD26D4"/>
    <w:rsid w:val="00BD3CB8"/>
    <w:rsid w:val="00BD3FB8"/>
    <w:rsid w:val="00BD410F"/>
    <w:rsid w:val="00BD4E6F"/>
    <w:rsid w:val="00BE5B41"/>
    <w:rsid w:val="00BF32F0"/>
    <w:rsid w:val="00BF3BE5"/>
    <w:rsid w:val="00BF4DCE"/>
    <w:rsid w:val="00C05C4A"/>
    <w:rsid w:val="00C05CE5"/>
    <w:rsid w:val="00C31335"/>
    <w:rsid w:val="00C6171E"/>
    <w:rsid w:val="00C65D28"/>
    <w:rsid w:val="00C91BD8"/>
    <w:rsid w:val="00C93BFE"/>
    <w:rsid w:val="00C9481F"/>
    <w:rsid w:val="00CA1192"/>
    <w:rsid w:val="00CA6F2C"/>
    <w:rsid w:val="00CB253B"/>
    <w:rsid w:val="00CD6A13"/>
    <w:rsid w:val="00CE1392"/>
    <w:rsid w:val="00CF1871"/>
    <w:rsid w:val="00D01874"/>
    <w:rsid w:val="00D019CE"/>
    <w:rsid w:val="00D109BB"/>
    <w:rsid w:val="00D1133E"/>
    <w:rsid w:val="00D119FA"/>
    <w:rsid w:val="00D1207D"/>
    <w:rsid w:val="00D17A34"/>
    <w:rsid w:val="00D26628"/>
    <w:rsid w:val="00D332B3"/>
    <w:rsid w:val="00D5336D"/>
    <w:rsid w:val="00D54440"/>
    <w:rsid w:val="00D55207"/>
    <w:rsid w:val="00D61040"/>
    <w:rsid w:val="00D73B87"/>
    <w:rsid w:val="00D75724"/>
    <w:rsid w:val="00D81801"/>
    <w:rsid w:val="00D92B45"/>
    <w:rsid w:val="00D95962"/>
    <w:rsid w:val="00D97B04"/>
    <w:rsid w:val="00DA2F45"/>
    <w:rsid w:val="00DB42ED"/>
    <w:rsid w:val="00DC2E31"/>
    <w:rsid w:val="00DC389B"/>
    <w:rsid w:val="00DD60A9"/>
    <w:rsid w:val="00DE0153"/>
    <w:rsid w:val="00DE2FEE"/>
    <w:rsid w:val="00DF1467"/>
    <w:rsid w:val="00DF56A1"/>
    <w:rsid w:val="00E00BE9"/>
    <w:rsid w:val="00E22A11"/>
    <w:rsid w:val="00E25B62"/>
    <w:rsid w:val="00E31E5C"/>
    <w:rsid w:val="00E3309C"/>
    <w:rsid w:val="00E44DD2"/>
    <w:rsid w:val="00E54B15"/>
    <w:rsid w:val="00E558C3"/>
    <w:rsid w:val="00E55927"/>
    <w:rsid w:val="00E60540"/>
    <w:rsid w:val="00E74F36"/>
    <w:rsid w:val="00E912A6"/>
    <w:rsid w:val="00EA4844"/>
    <w:rsid w:val="00EA4D9C"/>
    <w:rsid w:val="00EA5A97"/>
    <w:rsid w:val="00EB2248"/>
    <w:rsid w:val="00EB75EE"/>
    <w:rsid w:val="00EC6BEA"/>
    <w:rsid w:val="00ED5097"/>
    <w:rsid w:val="00EE04E0"/>
    <w:rsid w:val="00EE3CC5"/>
    <w:rsid w:val="00EE4C1D"/>
    <w:rsid w:val="00EE73A0"/>
    <w:rsid w:val="00EF2977"/>
    <w:rsid w:val="00EF3685"/>
    <w:rsid w:val="00EF64BD"/>
    <w:rsid w:val="00F01A15"/>
    <w:rsid w:val="00F04350"/>
    <w:rsid w:val="00F133DB"/>
    <w:rsid w:val="00F159EB"/>
    <w:rsid w:val="00F25BF4"/>
    <w:rsid w:val="00F267DB"/>
    <w:rsid w:val="00F40248"/>
    <w:rsid w:val="00F46F6F"/>
    <w:rsid w:val="00F60608"/>
    <w:rsid w:val="00F62217"/>
    <w:rsid w:val="00FB17A9"/>
    <w:rsid w:val="00FB527C"/>
    <w:rsid w:val="00FB5F85"/>
    <w:rsid w:val="00FB68A8"/>
    <w:rsid w:val="00FB6F75"/>
    <w:rsid w:val="00FC0EB3"/>
    <w:rsid w:val="00FC4EBD"/>
    <w:rsid w:val="00FD2577"/>
    <w:rsid w:val="00FD675E"/>
    <w:rsid w:val="00FE5674"/>
    <w:rsid w:val="00FF1761"/>
    <w:rsid w:val="19E45FC1"/>
    <w:rsid w:val="1FB93D7A"/>
    <w:rsid w:val="2FCEC8AC"/>
    <w:rsid w:val="3CD27889"/>
    <w:rsid w:val="3FBEF6C3"/>
    <w:rsid w:val="5F926445"/>
    <w:rsid w:val="6BE66889"/>
    <w:rsid w:val="7D9E7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D07D41"/>
  <w15:docId w15:val="{BC9BF9A8-4047-4C61-97B7-73D93BD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clear" w:pos="1985"/>
        <w:tab w:val="left" w:pos="992"/>
      </w:tabs>
      <w:spacing w:before="120" w:after="120"/>
      <w:ind w:left="992"/>
      <w:outlineLvl w:val="2"/>
    </w:pPr>
    <w:rPr>
      <w:szCs w:val="20"/>
      <w:lang w:eastAsia="de-DE"/>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tabs>
        <w:tab w:val="clear" w:pos="1135"/>
        <w:tab w:val="left" w:pos="567"/>
        <w:tab w:val="left" w:pos="1134"/>
      </w:tabs>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6</cp:revision>
  <dcterms:created xsi:type="dcterms:W3CDTF">2025-01-03T15:45:00Z</dcterms:created>
  <dcterms:modified xsi:type="dcterms:W3CDTF">2025-02-25T17:41:00Z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2052-12.1.0.19770</vt:lpwstr>
  </property>
  <property fmtid="{D5CDD505-2E9C-101B-9397-08002B2CF9AE}" pid="6" name="KSOTemplateDocerSaveRecord">
    <vt:lpwstr>eyJoZGlkIjoiYWJmNTAxYTA0NTllZTU0OWY5NWY0MWNlMzBjNGU2OTYiLCJ1c2VySWQiOiIzMjEyNTIwMzMifQ==</vt:lpwstr>
  </property>
  <property fmtid="{D5CDD505-2E9C-101B-9397-08002B2CF9AE}" pid="7" name="ICV">
    <vt:lpwstr>A7F94EBA2F934FF49962F7BE95A3F29C_12</vt:lpwstr>
  </property>
</Properties>
</file>