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55D7" w14:textId="3D5A2D0E" w:rsidR="006A6DA3" w:rsidRDefault="00000000">
      <w:pPr>
        <w:pStyle w:val="Header"/>
        <w:tabs>
          <w:tab w:val="clear" w:pos="9639"/>
          <w:tab w:val="right" w:pos="5954"/>
        </w:tabs>
        <w:spacing w:after="240"/>
        <w:jc w:val="right"/>
        <w:rPr>
          <w:rFonts w:ascii="Calibri" w:hAnsi="Calibri"/>
        </w:rPr>
      </w:pPr>
      <w:r>
        <w:rPr>
          <w:rFonts w:ascii="Calibri" w:hAnsi="Calibri"/>
        </w:rPr>
        <w:t xml:space="preserve">Input paper: </w:t>
      </w:r>
      <w:r>
        <w:rPr>
          <w:rStyle w:val="FootnoteReference"/>
          <w:rFonts w:ascii="Calibri" w:hAnsi="Calibri"/>
          <w:sz w:val="22"/>
          <w:vertAlign w:val="superscript"/>
        </w:rPr>
        <w:footnoteReference w:id="1"/>
      </w:r>
      <w:r>
        <w:rPr>
          <w:rFonts w:ascii="Calibri" w:hAnsi="Calibri"/>
        </w:rPr>
        <w:t xml:space="preserve">  VTS57-</w:t>
      </w:r>
      <w:r w:rsidR="001F772B">
        <w:rPr>
          <w:rFonts w:ascii="Calibri" w:hAnsi="Calibri"/>
        </w:rPr>
        <w:t>9.1.2</w:t>
      </w:r>
    </w:p>
    <w:p w14:paraId="611C3459" w14:textId="77777777" w:rsidR="006A6DA3" w:rsidRDefault="006A6DA3">
      <w:pPr>
        <w:pStyle w:val="BodyText"/>
        <w:tabs>
          <w:tab w:val="left" w:pos="2835"/>
        </w:tabs>
        <w:rPr>
          <w:rFonts w:ascii="Calibri" w:hAnsi="Calibri"/>
        </w:rPr>
      </w:pPr>
    </w:p>
    <w:p w14:paraId="1211337F" w14:textId="77777777" w:rsidR="006A6DA3" w:rsidRDefault="00000000">
      <w:pPr>
        <w:pStyle w:val="BodyText"/>
        <w:tabs>
          <w:tab w:val="left" w:pos="2835"/>
        </w:tabs>
        <w:rPr>
          <w:rFonts w:ascii="Calibri" w:hAnsi="Calibri"/>
        </w:rPr>
      </w:pPr>
      <w:r>
        <w:rPr>
          <w:rFonts w:ascii="Calibri" w:hAnsi="Calibri"/>
        </w:rPr>
        <w:t xml:space="preserve">Input paper for the following Committee(s): </w:t>
      </w:r>
      <w:r>
        <w:rPr>
          <w:rFonts w:ascii="Calibri" w:hAnsi="Calibri"/>
        </w:rPr>
        <w:tab/>
      </w:r>
      <w:r>
        <w:rPr>
          <w:rFonts w:ascii="Calibri" w:hAnsi="Calibri"/>
          <w:sz w:val="18"/>
          <w:szCs w:val="18"/>
        </w:rPr>
        <w:t>check as appropriate</w:t>
      </w:r>
      <w:r>
        <w:rPr>
          <w:rFonts w:ascii="Calibri" w:hAnsi="Calibri"/>
          <w:sz w:val="18"/>
          <w:szCs w:val="18"/>
        </w:rPr>
        <w:tab/>
      </w:r>
      <w:r>
        <w:rPr>
          <w:rFonts w:ascii="Calibri" w:hAnsi="Calibri"/>
        </w:rPr>
        <w:tab/>
        <w:t>Purpose of paper:</w:t>
      </w:r>
    </w:p>
    <w:p w14:paraId="38F13799" w14:textId="77777777" w:rsidR="006A6DA3" w:rsidRDefault="00000000">
      <w:pPr>
        <w:pStyle w:val="BodyText"/>
        <w:tabs>
          <w:tab w:val="left" w:pos="1843"/>
        </w:tabs>
        <w:rPr>
          <w:rFonts w:ascii="Calibri" w:hAnsi="Calibri" w:cs="Arial"/>
          <w:b/>
          <w:sz w:val="24"/>
          <w:szCs w:val="24"/>
        </w:rPr>
      </w:pPr>
      <w:r>
        <w:rPr>
          <w:rFonts w:ascii="Calibri" w:hAnsi="Calibri" w:cs="Arial"/>
          <w:b/>
          <w:sz w:val="24"/>
          <w:szCs w:val="24"/>
        </w:rPr>
        <w:t>□</w:t>
      </w:r>
      <w:r>
        <w:rPr>
          <w:rFonts w:ascii="Calibri" w:hAnsi="Calibri" w:cs="Arial"/>
          <w:sz w:val="24"/>
          <w:szCs w:val="24"/>
        </w:rPr>
        <w:t xml:space="preserve">  </w:t>
      </w:r>
      <w:r>
        <w:rPr>
          <w:rFonts w:ascii="Calibri" w:hAnsi="Calibri" w:cs="Arial"/>
        </w:rPr>
        <w:t>ARM</w:t>
      </w:r>
      <w:r>
        <w:rPr>
          <w:rFonts w:ascii="Calibri" w:hAnsi="Calibri" w:cs="Arial"/>
        </w:rPr>
        <w:tab/>
      </w:r>
      <w:r>
        <w:rPr>
          <w:rFonts w:ascii="Calibri" w:hAnsi="Calibri" w:cs="Arial"/>
          <w:b/>
          <w:sz w:val="24"/>
          <w:szCs w:val="24"/>
        </w:rPr>
        <w:t>□</w:t>
      </w:r>
      <w:r>
        <w:rPr>
          <w:rFonts w:ascii="Calibri" w:hAnsi="Calibri" w:cs="Arial"/>
          <w:sz w:val="24"/>
          <w:szCs w:val="24"/>
        </w:rPr>
        <w:t xml:space="preserve">  </w:t>
      </w:r>
      <w:r>
        <w:rPr>
          <w:rFonts w:ascii="Calibri" w:hAnsi="Calibri" w:cs="Arial"/>
        </w:rPr>
        <w:t>ENG</w:t>
      </w:r>
      <w:r>
        <w:rPr>
          <w:rFonts w:ascii="Calibri" w:hAnsi="Calibri" w:cs="Arial"/>
        </w:rPr>
        <w:tab/>
      </w:r>
      <w:r>
        <w:rPr>
          <w:rFonts w:ascii="Calibri" w:hAnsi="Calibri" w:cs="Arial"/>
        </w:rPr>
        <w:tab/>
      </w:r>
      <w:r>
        <w:rPr>
          <w:rFonts w:ascii="Calibri" w:hAnsi="Calibri" w:cs="Arial"/>
          <w:b/>
          <w:sz w:val="24"/>
          <w:szCs w:val="24"/>
        </w:rPr>
        <w:t>□</w:t>
      </w:r>
      <w:r>
        <w:rPr>
          <w:rFonts w:ascii="Calibri" w:hAnsi="Calibri" w:cs="Arial"/>
          <w:sz w:val="24"/>
          <w:szCs w:val="24"/>
        </w:rPr>
        <w:t xml:space="preserve">  </w:t>
      </w:r>
      <w:r>
        <w:rPr>
          <w:rFonts w:ascii="Calibri" w:hAnsi="Calibri" w:cs="Arial"/>
        </w:rPr>
        <w:t>PAP</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b/>
          <w:sz w:val="24"/>
          <w:szCs w:val="24"/>
        </w:rPr>
        <w:t>X</w:t>
      </w:r>
      <w:r>
        <w:rPr>
          <w:rFonts w:ascii="Calibri" w:hAnsi="Calibri" w:cs="Arial"/>
          <w:sz w:val="24"/>
          <w:szCs w:val="24"/>
        </w:rPr>
        <w:t xml:space="preserve">  Input</w:t>
      </w:r>
    </w:p>
    <w:p w14:paraId="18EEC5B8" w14:textId="77777777" w:rsidR="006A6DA3" w:rsidRDefault="00000000">
      <w:pPr>
        <w:pStyle w:val="BodyText"/>
        <w:tabs>
          <w:tab w:val="left" w:pos="1843"/>
        </w:tabs>
        <w:rPr>
          <w:rFonts w:ascii="Calibri" w:hAnsi="Calibri"/>
        </w:rPr>
      </w:pPr>
      <w:r>
        <w:rPr>
          <w:rFonts w:ascii="Calibri" w:hAnsi="Calibri" w:cs="Arial"/>
          <w:b/>
          <w:sz w:val="24"/>
          <w:szCs w:val="24"/>
        </w:rPr>
        <w:t>□</w:t>
      </w:r>
      <w:r>
        <w:rPr>
          <w:rFonts w:ascii="Calibri" w:hAnsi="Calibri" w:cs="Arial"/>
          <w:sz w:val="24"/>
          <w:szCs w:val="24"/>
        </w:rPr>
        <w:t xml:space="preserve">  </w:t>
      </w:r>
      <w:r>
        <w:rPr>
          <w:rFonts w:ascii="Calibri" w:hAnsi="Calibri" w:cs="Arial"/>
        </w:rPr>
        <w:t>ENAV</w:t>
      </w:r>
      <w:r>
        <w:rPr>
          <w:rFonts w:ascii="Calibri" w:hAnsi="Calibri" w:cs="Arial"/>
          <w:b/>
          <w:sz w:val="24"/>
          <w:szCs w:val="24"/>
        </w:rPr>
        <w:tab/>
        <w:t>X</w:t>
      </w:r>
      <w:r>
        <w:rPr>
          <w:rFonts w:ascii="Calibri" w:hAnsi="Calibri" w:cs="Arial"/>
          <w:sz w:val="24"/>
          <w:szCs w:val="24"/>
        </w:rPr>
        <w:t xml:space="preserve">  </w:t>
      </w:r>
      <w:r>
        <w:rPr>
          <w:rFonts w:ascii="Calibri" w:hAnsi="Calibri" w:cs="Arial"/>
        </w:rPr>
        <w:t>VTS</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b/>
          <w:sz w:val="24"/>
          <w:szCs w:val="24"/>
        </w:rPr>
        <w:t>□</w:t>
      </w:r>
      <w:r>
        <w:rPr>
          <w:rFonts w:ascii="Calibri" w:hAnsi="Calibri" w:cs="Arial"/>
          <w:sz w:val="24"/>
          <w:szCs w:val="24"/>
        </w:rPr>
        <w:t xml:space="preserve">  Information</w:t>
      </w:r>
    </w:p>
    <w:p w14:paraId="1B23F538" w14:textId="77777777" w:rsidR="006A6DA3" w:rsidRDefault="006A6DA3">
      <w:pPr>
        <w:pStyle w:val="BodyText"/>
        <w:tabs>
          <w:tab w:val="left" w:pos="2835"/>
        </w:tabs>
        <w:rPr>
          <w:rFonts w:ascii="Calibri" w:hAnsi="Calibri"/>
        </w:rPr>
      </w:pPr>
    </w:p>
    <w:p w14:paraId="4D8322DC" w14:textId="3955F583" w:rsidR="006A6DA3" w:rsidRDefault="00000000">
      <w:pPr>
        <w:pStyle w:val="BodyText"/>
        <w:tabs>
          <w:tab w:val="left" w:pos="2835"/>
        </w:tabs>
        <w:rPr>
          <w:rFonts w:ascii="Calibri" w:hAnsi="Calibri"/>
        </w:rPr>
      </w:pPr>
      <w:r>
        <w:rPr>
          <w:rFonts w:ascii="Calibri" w:hAnsi="Calibri"/>
        </w:rPr>
        <w:t xml:space="preserve">Agenda item </w:t>
      </w:r>
      <w:r>
        <w:rPr>
          <w:rStyle w:val="FootnoteReference"/>
          <w:rFonts w:ascii="Calibri" w:hAnsi="Calibri"/>
          <w:sz w:val="22"/>
          <w:vertAlign w:val="superscript"/>
        </w:rPr>
        <w:footnoteReference w:id="2"/>
      </w:r>
      <w:r>
        <w:rPr>
          <w:rFonts w:ascii="Calibri" w:hAnsi="Calibri"/>
        </w:rPr>
        <w:tab/>
      </w:r>
      <w:r>
        <w:rPr>
          <w:rFonts w:ascii="Calibri" w:hAnsi="Calibri"/>
        </w:rPr>
        <w:tab/>
      </w:r>
      <w:r>
        <w:rPr>
          <w:rFonts w:ascii="Calibri" w:hAnsi="Calibri"/>
        </w:rPr>
        <w:tab/>
      </w:r>
      <w:r w:rsidR="001F772B">
        <w:rPr>
          <w:rFonts w:ascii="Calibri" w:hAnsi="Calibri"/>
        </w:rPr>
        <w:t>9.1</w:t>
      </w:r>
    </w:p>
    <w:p w14:paraId="3ADD30A2" w14:textId="477F4568" w:rsidR="006A6DA3" w:rsidRDefault="00000000">
      <w:pPr>
        <w:pStyle w:val="BodyText"/>
        <w:tabs>
          <w:tab w:val="left" w:pos="2835"/>
        </w:tabs>
        <w:rPr>
          <w:rFonts w:ascii="Calibri" w:hAnsi="Calibri"/>
        </w:rPr>
      </w:pPr>
      <w:r>
        <w:rPr>
          <w:rFonts w:ascii="Calibri" w:hAnsi="Calibri"/>
        </w:rPr>
        <w:t xml:space="preserve">Technical Domain / Task Number </w:t>
      </w:r>
      <w:r>
        <w:rPr>
          <w:rFonts w:ascii="Calibri" w:hAnsi="Calibri"/>
          <w:vertAlign w:val="superscript"/>
        </w:rPr>
        <w:t>2</w:t>
      </w:r>
      <w:r>
        <w:rPr>
          <w:rFonts w:ascii="Calibri" w:hAnsi="Calibri"/>
        </w:rPr>
        <w:tab/>
        <w:t>2.5.2</w:t>
      </w:r>
      <w:r w:rsidR="001F772B">
        <w:rPr>
          <w:rFonts w:ascii="Calibri" w:hAnsi="Calibri"/>
        </w:rPr>
        <w:t>a</w:t>
      </w:r>
    </w:p>
    <w:p w14:paraId="529F811B" w14:textId="77777777" w:rsidR="006A6DA3" w:rsidRDefault="00000000">
      <w:pPr>
        <w:pStyle w:val="BodyText"/>
        <w:tabs>
          <w:tab w:val="left" w:pos="2835"/>
        </w:tabs>
        <w:rPr>
          <w:rFonts w:ascii="Calibri" w:hAnsi="Calibri"/>
          <w:color w:val="FF0000"/>
        </w:rPr>
      </w:pPr>
      <w:r>
        <w:rPr>
          <w:rFonts w:ascii="Calibri" w:hAnsi="Calibri"/>
        </w:rPr>
        <w:t>Author(s) / Submitter(s)</w:t>
      </w:r>
      <w:r>
        <w:rPr>
          <w:rFonts w:ascii="Calibri" w:hAnsi="Calibri"/>
        </w:rPr>
        <w:tab/>
      </w:r>
      <w:r>
        <w:rPr>
          <w:rFonts w:ascii="Calibri" w:hAnsi="Calibri"/>
        </w:rPr>
        <w:tab/>
      </w:r>
      <w:r>
        <w:rPr>
          <w:rFonts w:ascii="Calibri" w:hAnsi="Calibri"/>
        </w:rPr>
        <w:tab/>
        <w:t>China Maritime Safety Administration</w:t>
      </w:r>
    </w:p>
    <w:p w14:paraId="4C28C2DF" w14:textId="77777777" w:rsidR="006A6DA3" w:rsidRDefault="006A6DA3">
      <w:pPr>
        <w:pStyle w:val="BodyText"/>
        <w:tabs>
          <w:tab w:val="left" w:pos="2835"/>
        </w:tabs>
        <w:rPr>
          <w:rFonts w:ascii="Calibri" w:hAnsi="Calibri"/>
        </w:rPr>
      </w:pPr>
    </w:p>
    <w:p w14:paraId="52C8CB96" w14:textId="77777777" w:rsidR="006A6DA3" w:rsidRDefault="00000000">
      <w:pPr>
        <w:pStyle w:val="Title"/>
        <w:rPr>
          <w:rFonts w:ascii="Arial Bold" w:eastAsia="Times New Roman" w:hAnsi="Arial Bold"/>
          <w:caps/>
          <w:color w:val="00558C"/>
          <w:sz w:val="28"/>
          <w:lang w:eastAsia="en-US"/>
        </w:rPr>
      </w:pPr>
      <w:r>
        <w:rPr>
          <w:rFonts w:ascii="Arial Bold" w:eastAsia="Times New Roman" w:hAnsi="Arial Bold"/>
          <w:caps/>
          <w:color w:val="00558C"/>
          <w:sz w:val="28"/>
          <w:lang w:eastAsia="en-US"/>
        </w:rPr>
        <w:t>Proposals on the “Service Specification for                               VTS Traffic Clearance Edition 1.4”</w:t>
      </w:r>
    </w:p>
    <w:p w14:paraId="7C372CE1" w14:textId="77777777" w:rsidR="006A6DA3" w:rsidRDefault="00000000">
      <w:pPr>
        <w:pStyle w:val="Heading1"/>
        <w:numPr>
          <w:ilvl w:val="0"/>
          <w:numId w:val="15"/>
        </w:numPr>
        <w:rPr>
          <w:rFonts w:eastAsia="Calibri"/>
        </w:rPr>
      </w:pPr>
      <w:r>
        <w:rPr>
          <w:rFonts w:eastAsia="Calibri"/>
        </w:rPr>
        <w:t>Summary</w:t>
      </w:r>
    </w:p>
    <w:p w14:paraId="6BC1A973" w14:textId="77777777" w:rsidR="006A6DA3" w:rsidRDefault="00000000">
      <w:pPr>
        <w:pStyle w:val="BodyText"/>
        <w:rPr>
          <w:rFonts w:ascii="Calibri" w:hAnsi="Calibri"/>
          <w:lang w:eastAsia="zh-CN"/>
        </w:rPr>
      </w:pPr>
      <w:r>
        <w:rPr>
          <w:rFonts w:ascii="Calibri" w:hAnsi="Calibri"/>
        </w:rPr>
        <w:t>This</w:t>
      </w:r>
      <w:r>
        <w:rPr>
          <w:rFonts w:ascii="Calibri" w:hAnsi="Calibri" w:hint="eastAsia"/>
        </w:rPr>
        <w:t xml:space="preserve"> proposal </w:t>
      </w:r>
      <w:r>
        <w:rPr>
          <w:rFonts w:ascii="Calibri" w:hAnsi="Calibri"/>
        </w:rPr>
        <w:t xml:space="preserve">proposes revisions to </w:t>
      </w:r>
      <w:r>
        <w:rPr>
          <w:rFonts w:ascii="Calibri" w:hAnsi="Calibri"/>
          <w:i/>
          <w:iCs/>
        </w:rPr>
        <w:t xml:space="preserve">Service Specification for VTS Traffic Clearance Edition 1.4 </w:t>
      </w:r>
      <w:r>
        <w:rPr>
          <w:rFonts w:ascii="Calibri" w:hAnsi="Calibri"/>
        </w:rPr>
        <w:t>from the aspects of ETA/ETD</w:t>
      </w:r>
      <w:r>
        <w:rPr>
          <w:rFonts w:ascii="Calibri" w:hAnsi="Calibri" w:hint="eastAsia"/>
          <w:lang w:val="en-US" w:eastAsia="zh-CN"/>
        </w:rPr>
        <w:t xml:space="preserve"> related expressions</w:t>
      </w:r>
      <w:r>
        <w:rPr>
          <w:rFonts w:ascii="Calibri" w:hAnsi="Calibri"/>
        </w:rPr>
        <w:t xml:space="preserve"> </w:t>
      </w:r>
      <w:r>
        <w:rPr>
          <w:rFonts w:ascii="Calibri" w:hAnsi="Calibri" w:hint="eastAsia"/>
          <w:lang w:val="en-US" w:eastAsia="zh-CN"/>
        </w:rPr>
        <w:t xml:space="preserve">modification </w:t>
      </w:r>
      <w:r>
        <w:rPr>
          <w:rFonts w:ascii="Calibri" w:hAnsi="Calibri"/>
        </w:rPr>
        <w:t>and references</w:t>
      </w:r>
      <w:r>
        <w:rPr>
          <w:rFonts w:ascii="Calibri" w:hAnsi="Calibri" w:hint="eastAsia"/>
          <w:lang w:val="en-US" w:eastAsia="zh-CN"/>
        </w:rPr>
        <w:t xml:space="preserve"> update</w:t>
      </w:r>
      <w:r>
        <w:rPr>
          <w:rFonts w:ascii="Calibri" w:hAnsi="Calibri"/>
        </w:rPr>
        <w:t>.</w:t>
      </w:r>
    </w:p>
    <w:p w14:paraId="7F8E8866" w14:textId="77777777" w:rsidR="006A6DA3" w:rsidRDefault="00000000">
      <w:pPr>
        <w:pStyle w:val="Heading2"/>
        <w:tabs>
          <w:tab w:val="clear" w:pos="567"/>
        </w:tabs>
        <w:ind w:left="851" w:hanging="851"/>
        <w:rPr>
          <w:rFonts w:eastAsia="Calibri"/>
        </w:rPr>
      </w:pPr>
      <w:r>
        <w:rPr>
          <w:rFonts w:eastAsia="Calibri"/>
        </w:rPr>
        <w:t>1.1</w:t>
      </w:r>
      <w:r>
        <w:rPr>
          <w:rFonts w:eastAsia="Calibri"/>
        </w:rPr>
        <w:tab/>
        <w:t>Purpose of the document</w:t>
      </w:r>
    </w:p>
    <w:p w14:paraId="1A13B95A" w14:textId="77777777" w:rsidR="006A6DA3" w:rsidRDefault="00000000">
      <w:pPr>
        <w:pStyle w:val="BodyText"/>
        <w:rPr>
          <w:rFonts w:ascii="Calibri" w:hAnsi="Calibri"/>
          <w:lang w:eastAsia="zh-CN"/>
        </w:rPr>
      </w:pPr>
      <w:r>
        <w:rPr>
          <w:rFonts w:ascii="Calibri" w:hAnsi="Calibri"/>
        </w:rPr>
        <w:t xml:space="preserve">The purpose of this document is to provide input for the VTS committee to update the </w:t>
      </w:r>
      <w:r>
        <w:rPr>
          <w:rFonts w:ascii="Calibri" w:hAnsi="Calibri"/>
          <w:i/>
          <w:iCs/>
        </w:rPr>
        <w:t>Service Specification for VTS Traffic Clearance Edition 1.4</w:t>
      </w:r>
      <w:r>
        <w:rPr>
          <w:rFonts w:ascii="Calibri" w:hAnsi="Calibri"/>
        </w:rPr>
        <w:t>.</w:t>
      </w:r>
      <w:r>
        <w:rPr>
          <w:rFonts w:hint="eastAsia"/>
        </w:rPr>
        <w:t xml:space="preserve"> </w:t>
      </w:r>
    </w:p>
    <w:p w14:paraId="01BA74C3" w14:textId="77777777" w:rsidR="006A6DA3" w:rsidRDefault="00000000">
      <w:pPr>
        <w:pStyle w:val="Heading2"/>
        <w:tabs>
          <w:tab w:val="clear" w:pos="567"/>
        </w:tabs>
        <w:ind w:left="851" w:hanging="851"/>
        <w:rPr>
          <w:rFonts w:eastAsia="Calibri"/>
        </w:rPr>
      </w:pPr>
      <w:r>
        <w:rPr>
          <w:rFonts w:eastAsia="Calibri"/>
        </w:rPr>
        <w:t>1.2</w:t>
      </w:r>
      <w:r>
        <w:rPr>
          <w:rFonts w:eastAsia="Calibri"/>
        </w:rPr>
        <w:tab/>
        <w:t>Related documents</w:t>
      </w:r>
    </w:p>
    <w:p w14:paraId="691DFFC1" w14:textId="77777777" w:rsidR="006A6DA3" w:rsidRDefault="00000000">
      <w:pPr>
        <w:pStyle w:val="BodyText"/>
        <w:rPr>
          <w:rFonts w:ascii="Calibri" w:hAnsi="Calibri"/>
          <w:lang w:val="en-US" w:eastAsia="zh-CN"/>
        </w:rPr>
      </w:pPr>
      <w:bookmarkStart w:id="0" w:name="_Hlk186816803"/>
      <w:r>
        <w:rPr>
          <w:rFonts w:ascii="Calibri" w:hAnsi="Calibri"/>
        </w:rPr>
        <w:t>[1]</w:t>
      </w:r>
      <w:r>
        <w:rPr>
          <w:rFonts w:ascii="Calibri" w:hAnsi="Calibri"/>
        </w:rPr>
        <w:tab/>
      </w:r>
      <w:bookmarkEnd w:id="0"/>
      <w:r>
        <w:rPr>
          <w:rFonts w:ascii="Calibri" w:hAnsi="Calibri"/>
          <w:lang w:val="en-US"/>
        </w:rPr>
        <w:t>VTS56-6.1.1 VTS Task Plan 2023-2027</w:t>
      </w:r>
    </w:p>
    <w:p w14:paraId="3EE981AE" w14:textId="77777777" w:rsidR="006A6DA3" w:rsidRDefault="00000000">
      <w:pPr>
        <w:pStyle w:val="BodyText"/>
        <w:rPr>
          <w:rFonts w:ascii="Calibri" w:hAnsi="Calibri"/>
          <w:lang w:val="en-US" w:eastAsia="zh-CN"/>
        </w:rPr>
      </w:pPr>
      <w:r>
        <w:rPr>
          <w:rFonts w:ascii="Calibri" w:hAnsi="Calibri"/>
        </w:rPr>
        <w:t>[2]</w:t>
      </w:r>
      <w:r>
        <w:rPr>
          <w:rFonts w:ascii="Calibri" w:hAnsi="Calibri"/>
        </w:rPr>
        <w:tab/>
        <w:t>VTS53-6.3.2 Development of technical service specifications for digital data exchange between VTS and other entities - primarily ships</w:t>
      </w:r>
      <w:r>
        <w:rPr>
          <w:rFonts w:ascii="Calibri" w:hAnsi="Calibri"/>
          <w:lang w:val="en-US"/>
        </w:rPr>
        <w:t xml:space="preserve"> </w:t>
      </w:r>
    </w:p>
    <w:p w14:paraId="1F20D6A4" w14:textId="77777777" w:rsidR="006A6DA3" w:rsidRDefault="00000000">
      <w:pPr>
        <w:pStyle w:val="BodyText"/>
        <w:rPr>
          <w:rFonts w:ascii="Calibri" w:hAnsi="Calibri"/>
          <w:lang w:val="en-US"/>
        </w:rPr>
      </w:pPr>
      <w:r>
        <w:rPr>
          <w:rFonts w:ascii="Calibri" w:hAnsi="Calibri"/>
        </w:rPr>
        <w:t>[3]</w:t>
      </w:r>
      <w:r>
        <w:rPr>
          <w:rFonts w:ascii="Calibri" w:hAnsi="Calibri"/>
        </w:rPr>
        <w:tab/>
      </w:r>
      <w:r>
        <w:rPr>
          <w:rFonts w:ascii="Calibri" w:hAnsi="Calibri"/>
          <w:lang w:val="en-US"/>
        </w:rPr>
        <w:t>VTS54-9.1.3</w:t>
      </w:r>
      <w:r>
        <w:rPr>
          <w:rFonts w:ascii="Calibri" w:hAnsi="Calibri"/>
          <w:b/>
          <w:bCs/>
          <w:lang w:val="en-US"/>
        </w:rPr>
        <w:t xml:space="preserve"> </w:t>
      </w:r>
      <w:r>
        <w:rPr>
          <w:rFonts w:ascii="Calibri" w:hAnsi="Calibri"/>
          <w:lang w:val="en-US"/>
        </w:rPr>
        <w:t>Proposals on the New Task of "Developing Technical Service Specifications for Digital Data Exchange between VTS and Other Entities - Primarily Ships"</w:t>
      </w:r>
    </w:p>
    <w:p w14:paraId="49D710AB" w14:textId="77777777" w:rsidR="006A6DA3" w:rsidRDefault="00000000">
      <w:pPr>
        <w:pStyle w:val="BodyText"/>
        <w:rPr>
          <w:rFonts w:ascii="Calibri" w:hAnsi="Calibri"/>
          <w:lang w:val="en-US"/>
        </w:rPr>
      </w:pPr>
      <w:bookmarkStart w:id="1" w:name="_Hlk170029563"/>
      <w:r>
        <w:rPr>
          <w:rFonts w:ascii="Calibri" w:hAnsi="Calibri"/>
        </w:rPr>
        <w:t>[4]</w:t>
      </w:r>
      <w:r>
        <w:rPr>
          <w:rFonts w:ascii="Calibri" w:hAnsi="Calibri"/>
        </w:rPr>
        <w:tab/>
      </w:r>
      <w:r>
        <w:rPr>
          <w:rFonts w:ascii="Calibri" w:hAnsi="Calibri"/>
          <w:lang w:val="en-US"/>
        </w:rPr>
        <w:t>VTS55-9.1.1</w:t>
      </w:r>
      <w:r>
        <w:rPr>
          <w:rFonts w:ascii="Calibri" w:hAnsi="Calibri"/>
          <w:b/>
          <w:bCs/>
          <w:lang w:val="en-US"/>
        </w:rPr>
        <w:t xml:space="preserve"> </w:t>
      </w:r>
      <w:r>
        <w:rPr>
          <w:rFonts w:ascii="Calibri" w:hAnsi="Calibri"/>
          <w:lang w:val="en-US"/>
        </w:rPr>
        <w:t>Proposals on the “Service Specification for VTS Traffic Clearance Service_V1.0”</w:t>
      </w:r>
      <w:bookmarkEnd w:id="1"/>
    </w:p>
    <w:p w14:paraId="5AA747B6" w14:textId="77777777" w:rsidR="006A6DA3" w:rsidRDefault="00000000">
      <w:pPr>
        <w:pStyle w:val="BodyText"/>
        <w:rPr>
          <w:rFonts w:ascii="Calibri" w:hAnsi="Calibri"/>
          <w:lang w:val="en-US"/>
        </w:rPr>
      </w:pPr>
      <w:r>
        <w:rPr>
          <w:rFonts w:ascii="Calibri" w:hAnsi="Calibri"/>
        </w:rPr>
        <w:t>[5]</w:t>
      </w:r>
      <w:r>
        <w:rPr>
          <w:rFonts w:ascii="Calibri" w:hAnsi="Calibri"/>
        </w:rPr>
        <w:tab/>
      </w:r>
      <w:r>
        <w:rPr>
          <w:rFonts w:ascii="Calibri" w:hAnsi="Calibri"/>
          <w:lang w:val="en-US" w:eastAsia="zh-CN"/>
        </w:rPr>
        <w:t>VTS56-9.1.1</w:t>
      </w:r>
      <w:r>
        <w:rPr>
          <w:rFonts w:ascii="Calibri" w:hAnsi="Calibri"/>
          <w:b/>
          <w:bCs/>
          <w:lang w:val="en-US" w:eastAsia="zh-CN"/>
        </w:rPr>
        <w:t xml:space="preserve"> </w:t>
      </w:r>
      <w:r>
        <w:rPr>
          <w:rFonts w:ascii="Calibri" w:hAnsi="Calibri"/>
          <w:lang w:val="en-US" w:eastAsia="zh-CN"/>
        </w:rPr>
        <w:t>Proposal on the "Service Specification for VTS Traffic Clearance Service Edition 1.3” and "Service design"</w:t>
      </w:r>
    </w:p>
    <w:p w14:paraId="5E76F7EB" w14:textId="77777777" w:rsidR="006A6DA3" w:rsidRDefault="00000000">
      <w:pPr>
        <w:pStyle w:val="Heading1"/>
        <w:numPr>
          <w:ilvl w:val="0"/>
          <w:numId w:val="15"/>
        </w:numPr>
        <w:rPr>
          <w:rFonts w:eastAsia="Calibri"/>
        </w:rPr>
      </w:pPr>
      <w:r>
        <w:rPr>
          <w:rFonts w:eastAsia="Calibri"/>
        </w:rPr>
        <w:lastRenderedPageBreak/>
        <w:t>Background</w:t>
      </w:r>
    </w:p>
    <w:p w14:paraId="1511D44E" w14:textId="77777777" w:rsidR="006A6DA3" w:rsidRDefault="00000000">
      <w:pPr>
        <w:pStyle w:val="BodyText"/>
        <w:rPr>
          <w:rFonts w:ascii="Calibri" w:hAnsi="Calibri"/>
          <w:lang w:val="en-US" w:eastAsia="zh-CN"/>
        </w:rPr>
      </w:pPr>
      <w:r>
        <w:rPr>
          <w:rFonts w:ascii="Calibri" w:hAnsi="Calibri"/>
          <w:b/>
          <w:caps/>
          <w:color w:val="0070C0"/>
          <w:kern w:val="28"/>
          <w:lang w:val="en-US" w:eastAsia="zh-CN"/>
        </w:rPr>
        <w:t>2.1</w:t>
      </w:r>
      <w:r>
        <w:rPr>
          <w:rFonts w:ascii="Calibri" w:hAnsi="Calibri"/>
          <w:lang w:val="en-US" w:eastAsia="zh-CN"/>
        </w:rPr>
        <w:t xml:space="preserve"> </w:t>
      </w:r>
      <w:r>
        <w:rPr>
          <w:rFonts w:ascii="Calibri" w:hAnsi="Calibri"/>
          <w:lang w:val="en-US" w:eastAsia="zh-CN"/>
        </w:rPr>
        <w:tab/>
      </w:r>
      <w:r>
        <w:rPr>
          <w:rFonts w:ascii="Calibri" w:hAnsi="Calibri"/>
          <w:lang w:val="en-US"/>
        </w:rPr>
        <w:t>The IALA VTS Committee Work Plan 2023-2027 raises the task”</w:t>
      </w:r>
      <w:r>
        <w:rPr>
          <w:rFonts w:ascii="Calibri" w:hAnsi="Calibri"/>
          <w:i/>
          <w:iCs/>
        </w:rPr>
        <w:t xml:space="preserve"> Development of technical service specifications for digital data exchange between VTS and other entities - primarily ships</w:t>
      </w:r>
      <w:r>
        <w:rPr>
          <w:rFonts w:ascii="Calibri" w:hAnsi="Calibri"/>
          <w:lang w:val="en-US"/>
        </w:rPr>
        <w:t xml:space="preserve">” (task 2.5.2), and aims to finalize the pioneer technical service specifications before VTS57. </w:t>
      </w:r>
      <w:r>
        <w:rPr>
          <w:rFonts w:ascii="Calibri" w:hAnsi="Calibri"/>
          <w:i/>
          <w:iCs/>
          <w:lang w:val="en-US"/>
        </w:rPr>
        <w:t>Service Specification for VTS Traffic Clearance Edition 1.4</w:t>
      </w:r>
      <w:r>
        <w:rPr>
          <w:rFonts w:ascii="Calibri" w:hAnsi="Calibri" w:hint="eastAsia"/>
          <w:lang w:val="en-US" w:eastAsia="zh-CN"/>
        </w:rPr>
        <w:t xml:space="preserve">, </w:t>
      </w:r>
      <w:r>
        <w:rPr>
          <w:rFonts w:ascii="Calibri" w:hAnsi="Calibri"/>
          <w:i/>
          <w:iCs/>
          <w:lang w:val="en-US"/>
        </w:rPr>
        <w:t>Service Design for VTS Traffic Clearance using SECOM Edition 1.1</w:t>
      </w:r>
      <w:r>
        <w:rPr>
          <w:rFonts w:ascii="Calibri" w:hAnsi="Calibri" w:hint="eastAsia"/>
          <w:i/>
          <w:iCs/>
          <w:lang w:val="en-US" w:eastAsia="zh-CN"/>
        </w:rPr>
        <w:t xml:space="preserve">, and </w:t>
      </w:r>
      <w:r>
        <w:rPr>
          <w:rFonts w:ascii="Calibri" w:hAnsi="Calibri"/>
          <w:i/>
          <w:iCs/>
          <w:lang w:val="en-US"/>
        </w:rPr>
        <w:t xml:space="preserve">Draft of Service Specification for VTS - Vessel Route Exchange Edition 0.3(working paper) </w:t>
      </w:r>
      <w:r>
        <w:rPr>
          <w:rFonts w:ascii="Calibri" w:hAnsi="Calibri"/>
          <w:lang w:val="en-US"/>
        </w:rPr>
        <w:t xml:space="preserve">had been finalized at VTS56 and the intersessional meeting. </w:t>
      </w:r>
      <w:r>
        <w:rPr>
          <w:rFonts w:ascii="Calibri" w:hAnsi="Calibri" w:hint="eastAsia"/>
          <w:lang w:val="en-US" w:eastAsia="zh-CN"/>
        </w:rPr>
        <w:t>T</w:t>
      </w:r>
      <w:r>
        <w:rPr>
          <w:rFonts w:ascii="Calibri" w:hAnsi="Calibri"/>
          <w:lang w:val="en-US"/>
        </w:rPr>
        <w:t xml:space="preserve">ask 2.5.2 indicated that all </w:t>
      </w:r>
      <w:r>
        <w:rPr>
          <w:rFonts w:ascii="Calibri" w:hAnsi="Calibri" w:hint="eastAsia"/>
          <w:lang w:val="en-US" w:eastAsia="zh-CN"/>
        </w:rPr>
        <w:t xml:space="preserve">the </w:t>
      </w:r>
      <w:r>
        <w:rPr>
          <w:rFonts w:ascii="Calibri" w:hAnsi="Calibri"/>
          <w:lang w:val="en-US"/>
        </w:rPr>
        <w:t>content of the Service Specification</w:t>
      </w:r>
      <w:r>
        <w:rPr>
          <w:rFonts w:ascii="Calibri" w:hAnsi="Calibri" w:hint="eastAsia"/>
          <w:lang w:val="en-US" w:eastAsia="zh-CN"/>
        </w:rPr>
        <w:t>s</w:t>
      </w:r>
      <w:r>
        <w:rPr>
          <w:rFonts w:ascii="Calibri" w:hAnsi="Calibri"/>
          <w:lang w:val="en-US"/>
        </w:rPr>
        <w:t xml:space="preserve"> would be open for discussion and welcome suggestions for revision.</w:t>
      </w:r>
    </w:p>
    <w:p w14:paraId="680A7752" w14:textId="77777777" w:rsidR="006A6DA3" w:rsidRDefault="00000000">
      <w:pPr>
        <w:pStyle w:val="BodyText"/>
        <w:rPr>
          <w:rFonts w:ascii="Calibri" w:hAnsi="Calibri"/>
          <w:lang w:val="en-US" w:eastAsia="zh-CN"/>
        </w:rPr>
      </w:pPr>
      <w:r>
        <w:rPr>
          <w:rFonts w:ascii="Calibri" w:hAnsi="Calibri"/>
          <w:b/>
          <w:caps/>
          <w:color w:val="0070C0"/>
          <w:kern w:val="28"/>
          <w:lang w:val="en-US" w:eastAsia="zh-CN"/>
        </w:rPr>
        <w:t xml:space="preserve">2.2  </w:t>
      </w:r>
      <w:r>
        <w:rPr>
          <w:rFonts w:ascii="Calibri" w:hAnsi="Calibri"/>
          <w:lang w:val="en-US" w:eastAsia="zh-CN"/>
        </w:rPr>
        <w:t xml:space="preserve">    </w:t>
      </w:r>
      <w:r>
        <w:rPr>
          <w:rFonts w:ascii="Calibri" w:hAnsi="Calibri"/>
          <w:lang w:val="en-US"/>
        </w:rPr>
        <w:t>As the co-sponsor</w:t>
      </w:r>
      <w:r>
        <w:rPr>
          <w:rFonts w:ascii="Calibri" w:hAnsi="Calibri"/>
        </w:rPr>
        <w:t xml:space="preserve"> of</w:t>
      </w:r>
      <w:r>
        <w:rPr>
          <w:rFonts w:ascii="Calibri" w:hAnsi="Calibri"/>
          <w:lang w:val="en-US"/>
        </w:rPr>
        <w:t xml:space="preserve">  the new work task proposal (VTS 53-6.3.2) at  VTS53, China MSA continued to submit "</w:t>
      </w:r>
      <w:r>
        <w:rPr>
          <w:rFonts w:ascii="Calibri" w:hAnsi="Calibri"/>
        </w:rPr>
        <w:t xml:space="preserve"> </w:t>
      </w:r>
      <w:r>
        <w:rPr>
          <w:rFonts w:ascii="Calibri" w:hAnsi="Calibri" w:hint="eastAsia"/>
          <w:i/>
          <w:iCs/>
          <w:lang w:val="en-US" w:eastAsia="zh-CN"/>
        </w:rPr>
        <w:t>P</w:t>
      </w:r>
      <w:r>
        <w:rPr>
          <w:rFonts w:ascii="Calibri" w:hAnsi="Calibri"/>
          <w:i/>
          <w:iCs/>
          <w:lang w:val="en-US"/>
        </w:rPr>
        <w:t>roposals on the New Work Task of Developing Technical Service Specifications for Digital Data Exchange between VTS and Other Entities</w:t>
      </w:r>
      <w:r>
        <w:rPr>
          <w:rFonts w:ascii="Calibri" w:hAnsi="Calibri"/>
          <w:lang w:val="en-US"/>
        </w:rPr>
        <w:t xml:space="preserve"> "</w:t>
      </w:r>
      <w:r>
        <w:rPr>
          <w:rFonts w:ascii="Calibri" w:hAnsi="Calibri"/>
        </w:rPr>
        <w:t xml:space="preserve"> </w:t>
      </w:r>
      <w:r>
        <w:rPr>
          <w:rFonts w:ascii="Calibri" w:hAnsi="Calibri"/>
          <w:lang w:val="en-US"/>
        </w:rPr>
        <w:t>(VTS54 9.1.3) and "</w:t>
      </w:r>
      <w:r>
        <w:rPr>
          <w:rFonts w:ascii="Calibri" w:hAnsi="Calibri"/>
        </w:rPr>
        <w:t xml:space="preserve"> </w:t>
      </w:r>
      <w:r>
        <w:rPr>
          <w:rFonts w:ascii="Calibri" w:hAnsi="Calibri"/>
          <w:i/>
          <w:iCs/>
          <w:lang w:val="en-US"/>
        </w:rPr>
        <w:t>Draft of Service Specification for digital VTS Anchorage Assignment Service_V0.5"</w:t>
      </w:r>
      <w:r>
        <w:rPr>
          <w:rFonts w:ascii="Calibri" w:hAnsi="Calibri"/>
          <w:lang w:val="en-US"/>
        </w:rPr>
        <w:t xml:space="preserve"> (VTS54 8.3.2 ) at VTS54</w:t>
      </w:r>
      <w:r>
        <w:rPr>
          <w:rFonts w:ascii="Calibri" w:hAnsi="Calibri" w:hint="eastAsia"/>
          <w:lang w:val="en-US" w:eastAsia="zh-CN"/>
        </w:rPr>
        <w:t xml:space="preserve">, </w:t>
      </w:r>
      <w:r>
        <w:rPr>
          <w:rFonts w:ascii="Calibri" w:hAnsi="Calibri"/>
          <w:i/>
          <w:iCs/>
          <w:lang w:val="en-US" w:eastAsia="zh-CN"/>
        </w:rPr>
        <w:t>“</w:t>
      </w:r>
      <w:r>
        <w:rPr>
          <w:rFonts w:ascii="Calibri" w:hAnsi="Calibri"/>
          <w:i/>
          <w:iCs/>
          <w:lang w:val="en-US"/>
        </w:rPr>
        <w:t>Proposals on the Service Specification for VTS Traffic Clearance Service_V1.0”</w:t>
      </w:r>
      <w:r>
        <w:rPr>
          <w:rFonts w:ascii="Calibri" w:hAnsi="Calibri"/>
          <w:lang w:val="en-US"/>
        </w:rPr>
        <w:t xml:space="preserve"> (VTS55-9.1.1) at VTS55, and</w:t>
      </w:r>
      <w:r>
        <w:rPr>
          <w:rFonts w:ascii="Calibri" w:hAnsi="Calibri"/>
          <w:b/>
          <w:bCs/>
        </w:rPr>
        <w:t xml:space="preserve"> </w:t>
      </w:r>
      <w:r>
        <w:rPr>
          <w:rFonts w:ascii="Calibri" w:hAnsi="Calibri"/>
          <w:b/>
          <w:bCs/>
          <w:i/>
          <w:iCs/>
          <w:lang w:val="en-US" w:eastAsia="zh-CN"/>
        </w:rPr>
        <w:t>“</w:t>
      </w:r>
      <w:r>
        <w:rPr>
          <w:rFonts w:ascii="Calibri" w:hAnsi="Calibri"/>
          <w:i/>
          <w:iCs/>
          <w:lang w:val="en-US"/>
        </w:rPr>
        <w:t>Proposals on the Service Specification for VTS Traffic Clearance Service_V1.3</w:t>
      </w:r>
      <w:r>
        <w:rPr>
          <w:rFonts w:ascii="Calibri" w:hAnsi="Calibri" w:hint="eastAsia"/>
          <w:i/>
          <w:iCs/>
          <w:lang w:val="en-US" w:eastAsia="zh-CN"/>
        </w:rPr>
        <w:t xml:space="preserve"> </w:t>
      </w:r>
      <w:r>
        <w:rPr>
          <w:rFonts w:ascii="Calibri" w:hAnsi="Calibri"/>
          <w:i/>
          <w:iCs/>
          <w:lang w:val="en-US" w:eastAsia="zh-CN"/>
        </w:rPr>
        <w:t>and Service design"</w:t>
      </w:r>
      <w:r>
        <w:rPr>
          <w:rFonts w:ascii="Calibri" w:hAnsi="Calibri"/>
          <w:i/>
          <w:iCs/>
          <w:lang w:val="en-US"/>
        </w:rPr>
        <w:t xml:space="preserve"> </w:t>
      </w:r>
      <w:r>
        <w:rPr>
          <w:rFonts w:ascii="Calibri" w:hAnsi="Calibri"/>
          <w:lang w:val="en-US"/>
        </w:rPr>
        <w:t>(VTS56-9.1.1) at VTS56.</w:t>
      </w:r>
    </w:p>
    <w:p w14:paraId="74906D76" w14:textId="77777777" w:rsidR="006A6DA3" w:rsidRDefault="00000000">
      <w:pPr>
        <w:pStyle w:val="Heading1"/>
        <w:numPr>
          <w:ilvl w:val="0"/>
          <w:numId w:val="15"/>
        </w:numPr>
        <w:rPr>
          <w:rFonts w:eastAsia="Calibri"/>
        </w:rPr>
      </w:pPr>
      <w:r>
        <w:rPr>
          <w:rFonts w:eastAsia="Calibri"/>
        </w:rPr>
        <w:t>Discussion</w:t>
      </w:r>
    </w:p>
    <w:p w14:paraId="63C43E8D" w14:textId="77777777" w:rsidR="006A6DA3" w:rsidRDefault="00000000">
      <w:pPr>
        <w:pStyle w:val="Heading2"/>
        <w:tabs>
          <w:tab w:val="clear" w:pos="567"/>
        </w:tabs>
        <w:ind w:left="851" w:hanging="851"/>
        <w:rPr>
          <w:rFonts w:eastAsia="Calibri"/>
        </w:rPr>
      </w:pPr>
      <w:bookmarkStart w:id="2" w:name="_Hlk170029881"/>
      <w:bookmarkStart w:id="3" w:name="_Hlk170114292"/>
      <w:r>
        <w:rPr>
          <w:rFonts w:eastAsia="Calibri"/>
        </w:rPr>
        <w:t>3.1</w:t>
      </w:r>
      <w:r>
        <w:rPr>
          <w:rFonts w:eastAsia="Calibri"/>
        </w:rPr>
        <w:tab/>
        <w:t>Standards for timestamps (aligned with IMO Compendium)</w:t>
      </w:r>
    </w:p>
    <w:bookmarkEnd w:id="2"/>
    <w:bookmarkEnd w:id="3"/>
    <w:p w14:paraId="7AA09CA2" w14:textId="77777777" w:rsidR="006A6DA3" w:rsidRDefault="00000000">
      <w:pPr>
        <w:pStyle w:val="List1"/>
        <w:rPr>
          <w:rFonts w:ascii="Calibri" w:hAnsi="Calibri"/>
        </w:rPr>
      </w:pPr>
      <w:r>
        <w:rPr>
          <w:rFonts w:ascii="Calibri" w:hAnsi="Calibri"/>
        </w:rPr>
        <w:t>Definitions for "Estimated/Requested/Planned/Actual Time of Departure from a specified location (Abbreviations: ETD, RTD, PTD, ATD</w:t>
      </w:r>
      <w:r>
        <w:t xml:space="preserve"> </w:t>
      </w:r>
      <w:r>
        <w:rPr>
          <w:rFonts w:ascii="Calibri" w:hAnsi="Calibri"/>
        </w:rPr>
        <w:t>from a specified location)"</w:t>
      </w:r>
      <w:r>
        <w:rPr>
          <w:rFonts w:ascii="Calibri" w:hAnsi="Calibri" w:hint="eastAsia"/>
          <w:lang w:val="en-US" w:eastAsia="zh-CN"/>
        </w:rPr>
        <w:t xml:space="preserve"> </w:t>
      </w:r>
      <w:r>
        <w:rPr>
          <w:rFonts w:ascii="Calibri" w:hAnsi="Calibri"/>
        </w:rPr>
        <w:t>are listed in IMO Compendium by data numbers: IMO0066, IMO0236, IMO0237, IMO0065.</w:t>
      </w:r>
    </w:p>
    <w:p w14:paraId="7EA5E4E4" w14:textId="77777777" w:rsidR="006A6DA3" w:rsidRDefault="006A6DA3">
      <w:pPr>
        <w:pStyle w:val="List1"/>
        <w:numPr>
          <w:ilvl w:val="0"/>
          <w:numId w:val="0"/>
        </w:numPr>
        <w:rPr>
          <w:rFonts w:ascii="Calibri" w:hAnsi="Calibri"/>
        </w:rPr>
      </w:pPr>
    </w:p>
    <w:p w14:paraId="3D4AEA5A" w14:textId="77777777" w:rsidR="006A6DA3" w:rsidRDefault="00000000">
      <w:pPr>
        <w:pStyle w:val="List1"/>
        <w:numPr>
          <w:ilvl w:val="0"/>
          <w:numId w:val="0"/>
        </w:numPr>
        <w:ind w:left="567"/>
        <w:rPr>
          <w:rFonts w:ascii="Calibri" w:hAnsi="Calibri"/>
        </w:rPr>
      </w:pPr>
      <w:r>
        <w:rPr>
          <w:noProof/>
        </w:rPr>
        <w:drawing>
          <wp:inline distT="0" distB="0" distL="0" distR="0" wp14:anchorId="21C88324" wp14:editId="245BBC85">
            <wp:extent cx="5758180" cy="22771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78127" cy="2285233"/>
                    </a:xfrm>
                    <a:prstGeom prst="rect">
                      <a:avLst/>
                    </a:prstGeom>
                  </pic:spPr>
                </pic:pic>
              </a:graphicData>
            </a:graphic>
          </wp:inline>
        </w:drawing>
      </w:r>
    </w:p>
    <w:p w14:paraId="7E0D4B58" w14:textId="77777777" w:rsidR="006A6DA3" w:rsidRDefault="00000000">
      <w:pPr>
        <w:pStyle w:val="List1"/>
        <w:rPr>
          <w:rFonts w:ascii="Calibri" w:hAnsi="Calibri"/>
        </w:rPr>
      </w:pPr>
      <w:r>
        <w:rPr>
          <w:rFonts w:ascii="Calibri" w:hAnsi="Calibri"/>
        </w:rPr>
        <w:t>"Estimated/Requested/Planned/Actual Time of Arrival at a specified location (Abbreviations: ETA, RTA, PTA, ATA at a specified location)"</w:t>
      </w:r>
      <w:r>
        <w:rPr>
          <w:rFonts w:ascii="Calibri" w:hAnsi="Calibri" w:hint="eastAsia"/>
          <w:lang w:val="en-US" w:eastAsia="zh-CN"/>
        </w:rPr>
        <w:t xml:space="preserve"> </w:t>
      </w:r>
      <w:r>
        <w:rPr>
          <w:rFonts w:ascii="Calibri" w:hAnsi="Calibri"/>
        </w:rPr>
        <w:t>are listed in IMO Compendium by data numbers: IMO0064, IMO0234, IMO0235, IMO0063, such as below:</w:t>
      </w:r>
    </w:p>
    <w:p w14:paraId="5F106833" w14:textId="77777777" w:rsidR="006A6DA3" w:rsidRDefault="00000000">
      <w:pPr>
        <w:pStyle w:val="List1indent1"/>
        <w:rPr>
          <w:rFonts w:ascii="Calibri" w:hAnsi="Calibri"/>
        </w:rPr>
      </w:pPr>
      <w:r>
        <w:rPr>
          <w:rFonts w:ascii="Calibri" w:hAnsi="Calibri"/>
        </w:rPr>
        <w:t>Date and time of arrival – estimated: The date and time the ship is estimated to arrive at a specified location, ETA. (IMO 0064)</w:t>
      </w:r>
    </w:p>
    <w:p w14:paraId="137A68D6" w14:textId="77777777" w:rsidR="006A6DA3" w:rsidRDefault="00000000">
      <w:pPr>
        <w:pStyle w:val="List1indent1"/>
        <w:rPr>
          <w:rFonts w:ascii="Calibri" w:hAnsi="Calibri"/>
        </w:rPr>
      </w:pPr>
      <w:r>
        <w:rPr>
          <w:rFonts w:ascii="Calibri" w:hAnsi="Calibri"/>
        </w:rPr>
        <w:t>Date and time of arrival - requested: The date and time the ship is requested to arrive at a specified location, RTA. (IMO 0234)</w:t>
      </w:r>
    </w:p>
    <w:p w14:paraId="5A149A54" w14:textId="77777777" w:rsidR="006A6DA3" w:rsidRDefault="00000000">
      <w:pPr>
        <w:pStyle w:val="List1indent1"/>
        <w:rPr>
          <w:rFonts w:ascii="Calibri" w:hAnsi="Calibri"/>
        </w:rPr>
      </w:pPr>
      <w:r>
        <w:rPr>
          <w:rFonts w:ascii="Calibri" w:hAnsi="Calibri"/>
        </w:rPr>
        <w:t>Date and time of arrival – planned: The date and time the ship plans to arrive at a specific location, PTA. (IMO 0235)</w:t>
      </w:r>
    </w:p>
    <w:p w14:paraId="63717862" w14:textId="77777777" w:rsidR="006A6DA3" w:rsidRDefault="00000000">
      <w:pPr>
        <w:pStyle w:val="List1indent1"/>
        <w:rPr>
          <w:rFonts w:ascii="Calibri" w:hAnsi="Calibri"/>
        </w:rPr>
      </w:pPr>
      <w:r>
        <w:rPr>
          <w:rFonts w:ascii="Calibri" w:hAnsi="Calibri"/>
        </w:rPr>
        <w:lastRenderedPageBreak/>
        <w:t xml:space="preserve"> Date and time of arrival – actual: The date and time the ship arrives at a specified location, ATA. (IMO 0063)</w:t>
      </w:r>
    </w:p>
    <w:p w14:paraId="132428B6" w14:textId="77777777" w:rsidR="006A6DA3" w:rsidRDefault="00000000">
      <w:pPr>
        <w:pStyle w:val="Heading2"/>
        <w:tabs>
          <w:tab w:val="clear" w:pos="567"/>
        </w:tabs>
        <w:ind w:left="851" w:hanging="851"/>
        <w:rPr>
          <w:lang w:val="en-US" w:eastAsia="zh-CN"/>
        </w:rPr>
      </w:pPr>
      <w:bookmarkStart w:id="4" w:name="_Hlk170032544"/>
      <w:r>
        <w:rPr>
          <w:rFonts w:eastAsia="Calibri"/>
        </w:rPr>
        <w:t>3.2</w:t>
      </w:r>
      <w:r>
        <w:rPr>
          <w:rFonts w:eastAsia="Calibri"/>
        </w:rPr>
        <w:tab/>
        <w:t>Standards for timestamps (aligned with IEC S-421)</w:t>
      </w:r>
    </w:p>
    <w:p w14:paraId="6D3A912D" w14:textId="77777777" w:rsidR="006A6DA3" w:rsidRDefault="00000000">
      <w:pPr>
        <w:pStyle w:val="List1"/>
        <w:rPr>
          <w:rFonts w:asciiTheme="minorHAnsi" w:hAnsiTheme="minorHAnsi"/>
        </w:rPr>
      </w:pPr>
      <w:r>
        <w:rPr>
          <w:rFonts w:asciiTheme="minorHAnsi" w:eastAsia="SimSun" w:hAnsiTheme="minorHAnsi"/>
        </w:rPr>
        <w:t xml:space="preserve">IEC </w:t>
      </w:r>
      <w:r>
        <w:rPr>
          <w:rFonts w:asciiTheme="minorHAnsi" w:eastAsia="SimSun" w:hAnsiTheme="minorHAnsi" w:cs="MS Mincho"/>
          <w:lang w:eastAsia="zh-CN"/>
        </w:rPr>
        <w:t>S-421 standard lists the RouteScheduleElement information type, which includes: two mandatory attributes of routeScheduleElementETD and routeSchedulelElementETA, and four time uncertainty window optional attributes (see Table 18 and Table B.27): routeScheduleElementETDWindowBefore</w:t>
      </w:r>
      <w:r>
        <w:rPr>
          <w:rFonts w:asciiTheme="minorHAnsi" w:eastAsia="SimSun" w:hAnsiTheme="minorHAnsi" w:cs="MS Mincho"/>
          <w:lang w:val="en-US" w:eastAsia="zh-CN"/>
        </w:rPr>
        <w:t xml:space="preserve">, </w:t>
      </w:r>
      <w:r>
        <w:rPr>
          <w:rFonts w:asciiTheme="minorHAnsi" w:eastAsia="SimSun" w:hAnsiTheme="minorHAnsi" w:cs="MS Mincho"/>
          <w:lang w:eastAsia="zh-CN"/>
        </w:rPr>
        <w:t>routeScheduleElementETDWindowAfter,</w:t>
      </w:r>
      <w:r>
        <w:rPr>
          <w:rFonts w:asciiTheme="minorHAnsi" w:eastAsia="SimSun" w:hAnsiTheme="minorHAnsi" w:cs="MS Mincho"/>
          <w:lang w:val="en-US" w:eastAsia="zh-CN"/>
        </w:rPr>
        <w:t xml:space="preserve"> </w:t>
      </w:r>
      <w:r>
        <w:rPr>
          <w:rFonts w:asciiTheme="minorHAnsi" w:eastAsia="SimSun" w:hAnsiTheme="minorHAnsi" w:cs="MS Mincho"/>
          <w:lang w:eastAsia="zh-CN"/>
        </w:rPr>
        <w:t>routeScheduleElementETAWindowBefore</w:t>
      </w:r>
      <w:r>
        <w:rPr>
          <w:rFonts w:asciiTheme="minorHAnsi" w:eastAsia="SimSun" w:hAnsiTheme="minorHAnsi" w:cs="MS Mincho"/>
          <w:lang w:val="en-US" w:eastAsia="zh-CN"/>
        </w:rPr>
        <w:t xml:space="preserve"> </w:t>
      </w:r>
      <w:r>
        <w:rPr>
          <w:rFonts w:asciiTheme="minorHAnsi" w:eastAsia="SimSun" w:hAnsiTheme="minorHAnsi" w:cs="MS Mincho"/>
          <w:lang w:eastAsia="zh-CN"/>
        </w:rPr>
        <w:t>and routeScheduleElementETAWindowAfter.</w:t>
      </w:r>
      <w:r>
        <w:rPr>
          <w:rFonts w:asciiTheme="minorHAnsi" w:eastAsia="SimSun" w:hAnsiTheme="minorHAnsi" w:cs="MS Mincho"/>
          <w:lang w:val="en-US" w:eastAsia="zh-CN"/>
        </w:rPr>
        <w:t xml:space="preserve"> T</w:t>
      </w:r>
      <w:r>
        <w:rPr>
          <w:rFonts w:asciiTheme="minorHAnsi" w:eastAsia="SimSun" w:hAnsiTheme="minorHAnsi" w:cs="MS Mincho"/>
          <w:lang w:eastAsia="zh-CN"/>
        </w:rPr>
        <w:t>he four optional attributes need to be set (7.3.5)</w:t>
      </w:r>
      <w:r>
        <w:rPr>
          <w:rFonts w:asciiTheme="minorHAnsi" w:eastAsia="SimSun" w:hAnsiTheme="minorHAnsi" w:cs="MS Mincho" w:hint="eastAsia"/>
          <w:lang w:eastAsia="zh-CN"/>
        </w:rPr>
        <w:t>，</w:t>
      </w:r>
      <w:r>
        <w:rPr>
          <w:rFonts w:asciiTheme="minorHAnsi" w:eastAsia="SimSun" w:hAnsiTheme="minorHAnsi" w:cs="MS Mincho"/>
          <w:lang w:val="en-US" w:eastAsia="zh-CN"/>
        </w:rPr>
        <w:t xml:space="preserve">if </w:t>
      </w:r>
      <w:r>
        <w:rPr>
          <w:rFonts w:asciiTheme="minorHAnsi" w:eastAsia="SimSun" w:hAnsiTheme="minorHAnsi" w:cs="MS Mincho"/>
          <w:lang w:eastAsia="zh-CN"/>
        </w:rPr>
        <w:t>the values of the two mandatory attributes routeScheduleElementETD and routeSchedulelElementETA are changed.</w:t>
      </w:r>
    </w:p>
    <w:p w14:paraId="7AE05AFD" w14:textId="77777777" w:rsidR="006A6DA3" w:rsidRDefault="006A6DA3">
      <w:pPr>
        <w:rPr>
          <w:lang w:eastAsia="ja-JP"/>
        </w:rPr>
      </w:pPr>
    </w:p>
    <w:p w14:paraId="0C0F8EA1" w14:textId="77777777" w:rsidR="006A6DA3" w:rsidRDefault="00000000">
      <w:pPr>
        <w:tabs>
          <w:tab w:val="left" w:pos="3052"/>
        </w:tabs>
        <w:ind w:left="992" w:hanging="992"/>
        <w:rPr>
          <w:rFonts w:ascii="Calibri" w:hAnsi="Calibri"/>
        </w:rPr>
      </w:pPr>
      <w:r>
        <w:rPr>
          <w:noProof/>
        </w:rPr>
        <w:drawing>
          <wp:inline distT="0" distB="0" distL="0" distR="0" wp14:anchorId="6E5BF5E2" wp14:editId="58F4C873">
            <wp:extent cx="6120130" cy="305625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6120130" cy="3056255"/>
                    </a:xfrm>
                    <a:prstGeom prst="rect">
                      <a:avLst/>
                    </a:prstGeom>
                  </pic:spPr>
                </pic:pic>
              </a:graphicData>
            </a:graphic>
          </wp:inline>
        </w:drawing>
      </w:r>
      <w:r>
        <w:rPr>
          <w:noProof/>
        </w:rPr>
        <w:drawing>
          <wp:inline distT="0" distB="0" distL="0" distR="0" wp14:anchorId="41BACC9A" wp14:editId="36480E35">
            <wp:extent cx="5847715" cy="318452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849263" cy="3185597"/>
                    </a:xfrm>
                    <a:prstGeom prst="rect">
                      <a:avLst/>
                    </a:prstGeom>
                  </pic:spPr>
                </pic:pic>
              </a:graphicData>
            </a:graphic>
          </wp:inline>
        </w:drawing>
      </w:r>
    </w:p>
    <w:p w14:paraId="4BDF6D8F" w14:textId="77777777" w:rsidR="006A6DA3" w:rsidRDefault="00000000">
      <w:pPr>
        <w:pStyle w:val="BodyText"/>
        <w:rPr>
          <w:lang w:eastAsia="de-DE"/>
        </w:rPr>
      </w:pPr>
      <w:r>
        <w:rPr>
          <w:noProof/>
        </w:rPr>
        <w:lastRenderedPageBreak/>
        <w:drawing>
          <wp:inline distT="0" distB="0" distL="114300" distR="114300" wp14:anchorId="0555CE11" wp14:editId="47CF083D">
            <wp:extent cx="6070600" cy="1689100"/>
            <wp:effectExtent l="0" t="0" r="0" b="0"/>
            <wp:docPr id="3" name="图片 3" descr="微信图片_2025010314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103143039"/>
                    <pic:cNvPicPr>
                      <a:picLocks noChangeAspect="1"/>
                    </pic:cNvPicPr>
                  </pic:nvPicPr>
                  <pic:blipFill>
                    <a:blip r:embed="rId11"/>
                    <a:stretch>
                      <a:fillRect/>
                    </a:stretch>
                  </pic:blipFill>
                  <pic:spPr>
                    <a:xfrm>
                      <a:off x="0" y="0"/>
                      <a:ext cx="6070600" cy="1689100"/>
                    </a:xfrm>
                    <a:prstGeom prst="rect">
                      <a:avLst/>
                    </a:prstGeom>
                  </pic:spPr>
                </pic:pic>
              </a:graphicData>
            </a:graphic>
          </wp:inline>
        </w:drawing>
      </w:r>
    </w:p>
    <w:p w14:paraId="557AF432" w14:textId="77777777" w:rsidR="006A6DA3" w:rsidRDefault="00000000">
      <w:pPr>
        <w:pStyle w:val="List1"/>
        <w:rPr>
          <w:rFonts w:asciiTheme="minorHAnsi" w:eastAsia="SimSun" w:hAnsiTheme="minorHAnsi"/>
        </w:rPr>
      </w:pPr>
      <w:r>
        <w:rPr>
          <w:rFonts w:asciiTheme="minorHAnsi" w:eastAsia="SimSun" w:hAnsiTheme="minorHAnsi"/>
        </w:rPr>
        <w:t xml:space="preserve">The RouteScheduleElement information type element can be used as a sub-element of the RouteScheduleManual, RouteScheduleCalculated and RouteScheduleRecommended composite information elements. The routeScheduleElementETD is mandatory for “Planned time of arrival from ship”, and routeSchedulelElementETA is mandatory for “Recommended time of arrival to ship”, as shown in the following figure (Table A.1). </w:t>
      </w:r>
    </w:p>
    <w:p w14:paraId="68F6F58F" w14:textId="77777777" w:rsidR="006A6DA3" w:rsidRDefault="00000000">
      <w:pPr>
        <w:pStyle w:val="List1"/>
        <w:numPr>
          <w:ilvl w:val="0"/>
          <w:numId w:val="0"/>
        </w:numPr>
        <w:rPr>
          <w:rFonts w:ascii="SimSun" w:eastAsiaTheme="minorEastAsia" w:hAnsi="SimSun"/>
        </w:rPr>
      </w:pPr>
      <w:r>
        <w:rPr>
          <w:noProof/>
        </w:rPr>
        <w:drawing>
          <wp:inline distT="0" distB="0" distL="0" distR="0" wp14:anchorId="6C7BF07D" wp14:editId="69C5CD90">
            <wp:extent cx="6120130" cy="14173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6120130" cy="1417320"/>
                    </a:xfrm>
                    <a:prstGeom prst="rect">
                      <a:avLst/>
                    </a:prstGeom>
                  </pic:spPr>
                </pic:pic>
              </a:graphicData>
            </a:graphic>
          </wp:inline>
        </w:drawing>
      </w:r>
    </w:p>
    <w:p w14:paraId="65374F28" w14:textId="77777777" w:rsidR="006A6DA3" w:rsidRDefault="00000000">
      <w:pPr>
        <w:pStyle w:val="List1"/>
        <w:numPr>
          <w:ilvl w:val="0"/>
          <w:numId w:val="0"/>
        </w:numPr>
        <w:rPr>
          <w:rFonts w:ascii="SimSun" w:eastAsiaTheme="minorEastAsia" w:hAnsi="SimSun"/>
        </w:rPr>
      </w:pPr>
      <w:r>
        <w:rPr>
          <w:noProof/>
        </w:rPr>
        <w:drawing>
          <wp:inline distT="0" distB="0" distL="0" distR="0" wp14:anchorId="646C0BB7" wp14:editId="200A55BB">
            <wp:extent cx="6120130" cy="15557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3"/>
                    <a:stretch>
                      <a:fillRect/>
                    </a:stretch>
                  </pic:blipFill>
                  <pic:spPr>
                    <a:xfrm>
                      <a:off x="0" y="0"/>
                      <a:ext cx="6120130" cy="1555750"/>
                    </a:xfrm>
                    <a:prstGeom prst="rect">
                      <a:avLst/>
                    </a:prstGeom>
                  </pic:spPr>
                </pic:pic>
              </a:graphicData>
            </a:graphic>
          </wp:inline>
        </w:drawing>
      </w:r>
    </w:p>
    <w:p w14:paraId="15E49411" w14:textId="77777777" w:rsidR="006A6DA3" w:rsidRDefault="00000000">
      <w:pPr>
        <w:pStyle w:val="List1"/>
        <w:rPr>
          <w:rFonts w:asciiTheme="minorHAnsi" w:eastAsia="SimSun" w:hAnsiTheme="minorHAnsi"/>
        </w:rPr>
      </w:pPr>
      <w:r>
        <w:rPr>
          <w:rFonts w:asciiTheme="minorHAnsi" w:eastAsia="SimSun" w:hAnsiTheme="minorHAnsi"/>
        </w:rPr>
        <w:t>All of the above information type elements have been registered in the IHO Geographic Information(GI) Registry  as early as 2022, the screenshot below shows the registration information for the routeScheduleElementETD mandatory attribute, which is officially defined as “Planned or recommended time of departure represented by estimated time of departure (ETD by schedule or by SOG</w:t>
      </w:r>
      <w:r>
        <w:rPr>
          <w:rFonts w:asciiTheme="minorHAnsi" w:eastAsia="SimSun" w:hAnsiTheme="minorHAnsi" w:hint="eastAsia"/>
        </w:rPr>
        <w:t>”</w:t>
      </w:r>
      <w:r>
        <w:rPr>
          <w:rFonts w:asciiTheme="minorHAnsi" w:eastAsia="SimSun" w:hAnsiTheme="minorHAnsi"/>
        </w:rPr>
        <w:t>(Table A.11 – Objects and attributes used by fleet route planning)”.</w:t>
      </w:r>
    </w:p>
    <w:p w14:paraId="7D10FE2E" w14:textId="77777777" w:rsidR="006A6DA3" w:rsidRDefault="00000000">
      <w:pPr>
        <w:pStyle w:val="BodyText"/>
        <w:rPr>
          <w:rFonts w:cs="Arial"/>
          <w:color w:val="000000"/>
          <w:sz w:val="16"/>
          <w:szCs w:val="16"/>
          <w:lang w:eastAsia="zh-CN"/>
        </w:rPr>
      </w:pPr>
      <w:r>
        <w:rPr>
          <w:noProof/>
        </w:rPr>
        <w:lastRenderedPageBreak/>
        <w:drawing>
          <wp:inline distT="0" distB="0" distL="0" distR="0" wp14:anchorId="4787B023" wp14:editId="3B7D1A50">
            <wp:extent cx="6120130" cy="2315845"/>
            <wp:effectExtent l="0" t="0" r="0" b="825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4"/>
                    <a:stretch>
                      <a:fillRect/>
                    </a:stretch>
                  </pic:blipFill>
                  <pic:spPr>
                    <a:xfrm>
                      <a:off x="0" y="0"/>
                      <a:ext cx="6120130" cy="2315845"/>
                    </a:xfrm>
                    <a:prstGeom prst="rect">
                      <a:avLst/>
                    </a:prstGeom>
                  </pic:spPr>
                </pic:pic>
              </a:graphicData>
            </a:graphic>
          </wp:inline>
        </w:drawing>
      </w:r>
    </w:p>
    <w:p w14:paraId="0FF418C9" w14:textId="77777777" w:rsidR="006A6DA3" w:rsidRDefault="006A6DA3">
      <w:pPr>
        <w:pStyle w:val="BodyText"/>
        <w:rPr>
          <w:rFonts w:cs="Arial"/>
          <w:color w:val="000000"/>
          <w:sz w:val="16"/>
          <w:szCs w:val="16"/>
          <w:lang w:eastAsia="zh-CN"/>
        </w:rPr>
      </w:pPr>
    </w:p>
    <w:p w14:paraId="2267840E" w14:textId="77777777" w:rsidR="006A6DA3" w:rsidRDefault="00000000">
      <w:pPr>
        <w:pStyle w:val="Heading2"/>
        <w:tabs>
          <w:tab w:val="clear" w:pos="567"/>
        </w:tabs>
        <w:ind w:left="851" w:hanging="851"/>
        <w:rPr>
          <w:rFonts w:eastAsia="Calibri"/>
        </w:rPr>
      </w:pPr>
      <w:r>
        <w:rPr>
          <w:rFonts w:eastAsia="Calibri"/>
        </w:rPr>
        <w:t>3.3</w:t>
      </w:r>
      <w:r>
        <w:rPr>
          <w:rFonts w:eastAsia="Calibri"/>
        </w:rPr>
        <w:tab/>
        <w:t xml:space="preserve">Content and technical feasibility of time-stamp exchange in the Service Specification </w:t>
      </w:r>
    </w:p>
    <w:p w14:paraId="7841C6ED" w14:textId="77777777" w:rsidR="006A6DA3" w:rsidRDefault="00000000">
      <w:pPr>
        <w:pStyle w:val="List1"/>
        <w:rPr>
          <w:rFonts w:asciiTheme="minorHAnsi" w:eastAsia="SimSun" w:hAnsiTheme="minorHAnsi" w:cs="MS Mincho"/>
          <w:lang w:eastAsia="zh-CN"/>
        </w:rPr>
      </w:pPr>
      <w:r>
        <w:rPr>
          <w:rFonts w:asciiTheme="minorHAnsi" w:eastAsia="SimSun" w:hAnsiTheme="minorHAnsi" w:cs="MS Mincho"/>
          <w:lang w:eastAsia="zh-CN"/>
        </w:rPr>
        <w:t>According</w:t>
      </w:r>
      <w:r>
        <w:rPr>
          <w:rFonts w:asciiTheme="minorHAnsi" w:eastAsia="SimSun" w:hAnsiTheme="minorHAnsi" w:cs="MS Mincho"/>
          <w:lang w:val="en-US" w:eastAsia="zh-CN"/>
        </w:rPr>
        <w:t xml:space="preserve"> to</w:t>
      </w:r>
      <w:r>
        <w:rPr>
          <w:rFonts w:asciiTheme="minorHAnsi" w:eastAsia="SimSun" w:hAnsiTheme="minorHAnsi" w:cs="MS Mincho" w:hint="eastAsia"/>
          <w:lang w:val="en-US" w:eastAsia="zh-CN"/>
        </w:rPr>
        <w:t xml:space="preserve"> </w:t>
      </w:r>
      <w:r>
        <w:rPr>
          <w:rFonts w:asciiTheme="minorHAnsi" w:eastAsia="SimSun" w:hAnsiTheme="minorHAnsi" w:cs="MS Mincho"/>
          <w:lang w:val="en-US" w:eastAsia="zh-CN"/>
        </w:rPr>
        <w:t>“</w:t>
      </w:r>
      <w:r>
        <w:rPr>
          <w:rFonts w:asciiTheme="minorHAnsi" w:eastAsia="SimSun" w:hAnsiTheme="minorHAnsi" w:cs="MS Mincho"/>
          <w:lang w:eastAsia="zh-CN"/>
        </w:rPr>
        <w:t>3 Operational Context</w:t>
      </w:r>
      <w:r>
        <w:rPr>
          <w:rFonts w:asciiTheme="minorHAnsi" w:eastAsia="SimSun" w:hAnsiTheme="minorHAnsi" w:cs="MS Mincho"/>
          <w:lang w:val="en-US" w:eastAsia="zh-CN"/>
        </w:rPr>
        <w:t>”</w:t>
      </w:r>
      <w:r>
        <w:rPr>
          <w:rFonts w:asciiTheme="minorHAnsi" w:eastAsia="SimSun" w:hAnsiTheme="minorHAnsi" w:cs="MS Mincho"/>
          <w:lang w:eastAsia="zh-CN"/>
        </w:rPr>
        <w:t>, For effective Traffic Clearance Service, VTS requires the knowledge of vessels intentions. The primary means to share vessels ETA and ETD would be the sharing of vessels route plans, which always includes a schedule. If the vessel is not capable of sharing a route plan, the alternative mean would be sharing only ETA and ETD and destination of vessel. It should be ensured that the times in the different systems are aligned. But ECDIS PS does not support the dynamic exchange and modification of ETA/ETD timestamps, which limits the use of only timestamp-based systems to back bridge systems on-board. this service specification reminds</w:t>
      </w:r>
      <w:r>
        <w:rPr>
          <w:rFonts w:asciiTheme="minorHAnsi" w:eastAsia="SimSun" w:hAnsiTheme="minorHAnsi" w:cs="MS Mincho" w:hint="eastAsia"/>
          <w:lang w:eastAsia="zh-CN"/>
        </w:rPr>
        <w:t>“</w:t>
      </w:r>
      <w:r>
        <w:rPr>
          <w:rFonts w:asciiTheme="minorHAnsi" w:eastAsia="SimSun" w:hAnsiTheme="minorHAnsi" w:cs="MS Mincho"/>
          <w:lang w:eastAsia="zh-CN"/>
        </w:rPr>
        <w:t>that in the actual messages there is no concept of planned, estimated or requested time. The timestamp is passed in a more neutral effectiveTime field with the context of the time being conveyed by the subjectOf Communication field and the type of request in the messageStatus field.</w:t>
      </w:r>
      <w:r>
        <w:rPr>
          <w:rFonts w:asciiTheme="minorHAnsi" w:eastAsia="SimSun" w:hAnsiTheme="minorHAnsi" w:cs="MS Mincho"/>
          <w:lang w:val="en-US" w:eastAsia="zh-CN"/>
        </w:rPr>
        <w:t>”</w:t>
      </w:r>
    </w:p>
    <w:p w14:paraId="0E797AFF" w14:textId="77777777" w:rsidR="006A6DA3" w:rsidRDefault="00000000">
      <w:pPr>
        <w:pStyle w:val="List1"/>
        <w:rPr>
          <w:rFonts w:asciiTheme="minorHAnsi" w:eastAsia="SimSun" w:hAnsiTheme="minorHAnsi" w:cs="MS Mincho"/>
          <w:lang w:eastAsia="zh-CN"/>
        </w:rPr>
      </w:pPr>
      <w:r>
        <w:rPr>
          <w:rFonts w:asciiTheme="minorHAnsi" w:eastAsia="SimSun" w:hAnsiTheme="minorHAnsi" w:cs="MS Mincho"/>
          <w:lang w:eastAsia="zh-CN"/>
        </w:rPr>
        <w:t>In accordance with IMO MSC108, NCSR11 and MSC109, IMO has placed the development of operational guidelines for route exchanges and real-time exchange of ECDIS-based S-100 series data on the committee's work item, as shown below.</w:t>
      </w:r>
    </w:p>
    <w:p w14:paraId="657036B7" w14:textId="77777777" w:rsidR="006A6DA3" w:rsidRDefault="00000000">
      <w:pPr>
        <w:pStyle w:val="List1"/>
        <w:numPr>
          <w:ilvl w:val="0"/>
          <w:numId w:val="0"/>
        </w:numPr>
        <w:ind w:left="567"/>
        <w:rPr>
          <w:rFonts w:ascii="SimSun" w:eastAsia="SimSun" w:hAnsi="SimSun" w:cs="MS Mincho"/>
          <w:lang w:eastAsia="zh-CN"/>
        </w:rPr>
      </w:pPr>
      <w:r>
        <w:rPr>
          <w:noProof/>
        </w:rPr>
        <w:drawing>
          <wp:inline distT="0" distB="0" distL="0" distR="0" wp14:anchorId="4967429B" wp14:editId="19732275">
            <wp:extent cx="5380355" cy="1936750"/>
            <wp:effectExtent l="0" t="0" r="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5"/>
                    <a:stretch>
                      <a:fillRect/>
                    </a:stretch>
                  </pic:blipFill>
                  <pic:spPr>
                    <a:xfrm>
                      <a:off x="0" y="0"/>
                      <a:ext cx="5380355" cy="1936750"/>
                    </a:xfrm>
                    <a:prstGeom prst="rect">
                      <a:avLst/>
                    </a:prstGeom>
                    <a:noFill/>
                    <a:ln>
                      <a:noFill/>
                    </a:ln>
                  </pic:spPr>
                </pic:pic>
              </a:graphicData>
            </a:graphic>
          </wp:inline>
        </w:drawing>
      </w:r>
      <w:r>
        <w:rPr>
          <w:noProof/>
        </w:rPr>
        <w:drawing>
          <wp:inline distT="0" distB="0" distL="0" distR="0" wp14:anchorId="70FD966D" wp14:editId="4B80CF14">
            <wp:extent cx="6120130" cy="1273810"/>
            <wp:effectExtent l="0" t="0" r="0" b="254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16"/>
                    <a:stretch>
                      <a:fillRect/>
                    </a:stretch>
                  </pic:blipFill>
                  <pic:spPr>
                    <a:xfrm>
                      <a:off x="0" y="0"/>
                      <a:ext cx="6120130" cy="1273810"/>
                    </a:xfrm>
                    <a:prstGeom prst="rect">
                      <a:avLst/>
                    </a:prstGeom>
                    <a:noFill/>
                    <a:ln>
                      <a:noFill/>
                    </a:ln>
                  </pic:spPr>
                </pic:pic>
              </a:graphicData>
            </a:graphic>
          </wp:inline>
        </w:drawing>
      </w:r>
    </w:p>
    <w:p w14:paraId="1CEFFF85" w14:textId="77777777" w:rsidR="006A6DA3" w:rsidRDefault="00000000">
      <w:pPr>
        <w:pStyle w:val="Heading2"/>
        <w:rPr>
          <w:lang w:val="en-US" w:eastAsia="zh-CN"/>
        </w:rPr>
      </w:pPr>
      <w:r>
        <w:rPr>
          <w:rFonts w:eastAsia="Calibri"/>
        </w:rPr>
        <w:t>3.4</w:t>
      </w:r>
      <w:r>
        <w:rPr>
          <w:rFonts w:eastAsia="Calibri"/>
        </w:rPr>
        <w:tab/>
      </w:r>
      <w:r>
        <w:rPr>
          <w:rFonts w:hint="eastAsia"/>
          <w:lang w:val="en-US" w:eastAsia="zh-CN"/>
        </w:rPr>
        <w:t>A</w:t>
      </w:r>
      <w:r>
        <w:rPr>
          <w:lang w:val="en-US" w:eastAsia="zh-CN"/>
        </w:rPr>
        <w:t>nalysis</w:t>
      </w:r>
    </w:p>
    <w:p w14:paraId="3E2A6084" w14:textId="77777777" w:rsidR="006A6DA3" w:rsidRDefault="00000000">
      <w:pPr>
        <w:pStyle w:val="List1"/>
        <w:rPr>
          <w:rFonts w:asciiTheme="minorHAnsi" w:eastAsia="SimSun" w:hAnsiTheme="minorHAnsi" w:cs="MS Mincho"/>
          <w:lang w:eastAsia="zh-CN"/>
        </w:rPr>
      </w:pPr>
      <w:r>
        <w:rPr>
          <w:rFonts w:asciiTheme="minorHAnsi" w:eastAsia="SimSun" w:hAnsiTheme="minorHAnsi" w:cs="MS Mincho"/>
          <w:lang w:eastAsia="zh-CN"/>
        </w:rPr>
        <w:lastRenderedPageBreak/>
        <w:t>IEC S-421 states that</w:t>
      </w:r>
      <w:r>
        <w:rPr>
          <w:rFonts w:asciiTheme="minorHAnsi" w:eastAsia="SimSun" w:hAnsiTheme="minorHAnsi" w:cs="MS Mincho"/>
          <w:lang w:val="en-US" w:eastAsia="zh-CN"/>
        </w:rPr>
        <w:t xml:space="preserve"> t</w:t>
      </w:r>
      <w:r>
        <w:rPr>
          <w:rFonts w:asciiTheme="minorHAnsi" w:eastAsia="SimSun" w:hAnsiTheme="minorHAnsi" w:cs="MS Mincho"/>
          <w:lang w:eastAsia="zh-CN"/>
        </w:rPr>
        <w:t>he object RouteWaypoints shall have at least two RouteWaypoints including starting point and destination point</w:t>
      </w:r>
      <w:r>
        <w:rPr>
          <w:rFonts w:asciiTheme="minorHAnsi" w:eastAsia="SimSun" w:hAnsiTheme="minorHAnsi" w:cs="MS Mincho"/>
          <w:lang w:val="en-US" w:eastAsia="zh-CN"/>
        </w:rPr>
        <w:t xml:space="preserve"> </w:t>
      </w:r>
      <w:r>
        <w:rPr>
          <w:rFonts w:asciiTheme="minorHAnsi" w:eastAsia="SimSun" w:hAnsiTheme="minorHAnsi" w:cs="MS Mincho"/>
          <w:lang w:eastAsia="zh-CN"/>
        </w:rPr>
        <w:t>(</w:t>
      </w:r>
      <w:r>
        <w:rPr>
          <w:rFonts w:asciiTheme="minorHAnsi" w:eastAsia="SimSun" w:hAnsiTheme="minorHAnsi" w:cs="MS Mincho"/>
          <w:lang w:val="en-US" w:eastAsia="zh-CN"/>
        </w:rPr>
        <w:t xml:space="preserve"> </w:t>
      </w:r>
      <w:r>
        <w:rPr>
          <w:rFonts w:asciiTheme="minorHAnsi" w:eastAsia="SimSun" w:hAnsiTheme="minorHAnsi" w:cs="MS Mincho"/>
          <w:lang w:eastAsia="zh-CN"/>
        </w:rPr>
        <w:t>Table B.17). It is also clear that “routeScheduleElementETA” is “Mandatory for the schedule element of the last waypoint”</w:t>
      </w:r>
      <w:r>
        <w:rPr>
          <w:rFonts w:asciiTheme="minorHAnsi" w:eastAsia="SimSun" w:hAnsiTheme="minorHAnsi" w:cs="MS Mincho"/>
          <w:lang w:val="en-US" w:eastAsia="zh-CN"/>
        </w:rPr>
        <w:t>;</w:t>
      </w:r>
      <w:r>
        <w:rPr>
          <w:rFonts w:asciiTheme="minorHAnsi" w:eastAsia="SimSun" w:hAnsiTheme="minorHAnsi" w:cs="MS Mincho"/>
          <w:lang w:eastAsia="zh-CN"/>
        </w:rPr>
        <w:t>“routeScheduleElementETD” is ‘Mandatory for the schedule element of the first waypoint’(</w:t>
      </w:r>
      <w:r>
        <w:rPr>
          <w:rFonts w:asciiTheme="minorHAnsi" w:eastAsia="SimSun" w:hAnsiTheme="minorHAnsi" w:cs="MS Mincho"/>
          <w:lang w:val="en-US" w:eastAsia="zh-CN"/>
        </w:rPr>
        <w:t xml:space="preserve"> </w:t>
      </w:r>
      <w:r>
        <w:rPr>
          <w:rFonts w:asciiTheme="minorHAnsi" w:eastAsia="SimSun" w:hAnsiTheme="minorHAnsi" w:cs="MS Mincho"/>
          <w:lang w:eastAsia="zh-CN"/>
        </w:rPr>
        <w:t>Table A.11)</w:t>
      </w:r>
      <w:r>
        <w:rPr>
          <w:rFonts w:asciiTheme="minorHAnsi" w:eastAsia="SimSun" w:hAnsiTheme="minorHAnsi" w:cs="MS Mincho"/>
          <w:lang w:val="en-US" w:eastAsia="zh-CN"/>
        </w:rPr>
        <w:t xml:space="preserve">. </w:t>
      </w:r>
      <w:r>
        <w:rPr>
          <w:rFonts w:asciiTheme="minorHAnsi" w:eastAsia="SimSun" w:hAnsiTheme="minorHAnsi" w:cs="MS Mincho"/>
          <w:lang w:eastAsia="zh-CN"/>
        </w:rPr>
        <w:t xml:space="preserve"> </w:t>
      </w:r>
      <w:r>
        <w:rPr>
          <w:rFonts w:asciiTheme="minorHAnsi" w:eastAsia="SimSun" w:hAnsiTheme="minorHAnsi" w:cs="MS Mincho"/>
          <w:lang w:val="en-US" w:eastAsia="zh-CN"/>
        </w:rPr>
        <w:t>“</w:t>
      </w:r>
      <w:r>
        <w:rPr>
          <w:rFonts w:asciiTheme="minorHAnsi" w:eastAsia="SimSun" w:hAnsiTheme="minorHAnsi" w:cs="MS Mincho"/>
          <w:lang w:eastAsia="zh-CN"/>
        </w:rPr>
        <w:t>routeScheduleElementETD</w:t>
      </w:r>
      <w:r>
        <w:rPr>
          <w:rFonts w:asciiTheme="minorHAnsi" w:eastAsia="SimSun" w:hAnsiTheme="minorHAnsi" w:cs="MS Mincho"/>
          <w:lang w:val="en-US" w:eastAsia="zh-CN"/>
        </w:rPr>
        <w:t xml:space="preserve">” </w:t>
      </w:r>
      <w:r>
        <w:rPr>
          <w:rFonts w:asciiTheme="minorHAnsi" w:eastAsia="SimSun" w:hAnsiTheme="minorHAnsi" w:cs="MS Mincho"/>
          <w:lang w:eastAsia="zh-CN"/>
        </w:rPr>
        <w:t xml:space="preserve">is mandatory for “Planned time of arrival </w:t>
      </w:r>
      <w:r>
        <w:rPr>
          <w:rFonts w:asciiTheme="minorHAnsi" w:eastAsia="SimSun" w:hAnsiTheme="minorHAnsi" w:cs="MS Mincho"/>
          <w:lang w:val="en-US" w:eastAsia="zh-CN"/>
        </w:rPr>
        <w:t>f</w:t>
      </w:r>
      <w:r>
        <w:rPr>
          <w:rFonts w:asciiTheme="minorHAnsi" w:eastAsia="SimSun" w:hAnsiTheme="minorHAnsi" w:cs="MS Mincho"/>
          <w:lang w:eastAsia="zh-CN"/>
        </w:rPr>
        <w:t>rom ship</w:t>
      </w:r>
      <w:r>
        <w:rPr>
          <w:rFonts w:asciiTheme="minorHAnsi" w:eastAsia="SimSun" w:hAnsiTheme="minorHAnsi" w:cs="MS Mincho"/>
          <w:lang w:val="en-US" w:eastAsia="zh-CN"/>
        </w:rPr>
        <w:t>”</w:t>
      </w:r>
      <w:r>
        <w:rPr>
          <w:rFonts w:asciiTheme="minorHAnsi" w:eastAsia="SimSun" w:hAnsiTheme="minorHAnsi" w:cs="MS Mincho"/>
          <w:lang w:eastAsia="zh-CN"/>
        </w:rPr>
        <w:t xml:space="preserve">, and </w:t>
      </w:r>
      <w:r>
        <w:rPr>
          <w:rFonts w:asciiTheme="minorHAnsi" w:eastAsia="SimSun" w:hAnsiTheme="minorHAnsi" w:cs="MS Mincho"/>
          <w:lang w:val="en-US" w:eastAsia="zh-CN"/>
        </w:rPr>
        <w:t>“</w:t>
      </w:r>
      <w:r>
        <w:rPr>
          <w:rFonts w:asciiTheme="minorHAnsi" w:eastAsia="SimSun" w:hAnsiTheme="minorHAnsi" w:cs="MS Mincho"/>
          <w:lang w:eastAsia="zh-CN"/>
        </w:rPr>
        <w:t>routeSchedulelElementETA</w:t>
      </w:r>
      <w:r>
        <w:rPr>
          <w:rFonts w:asciiTheme="minorHAnsi" w:eastAsia="SimSun" w:hAnsiTheme="minorHAnsi" w:cs="MS Mincho"/>
          <w:lang w:val="en-US" w:eastAsia="zh-CN"/>
        </w:rPr>
        <w:t>”</w:t>
      </w:r>
      <w:r>
        <w:rPr>
          <w:rFonts w:asciiTheme="minorHAnsi" w:eastAsia="SimSun" w:hAnsiTheme="minorHAnsi" w:cs="MS Mincho"/>
          <w:lang w:eastAsia="zh-CN"/>
        </w:rPr>
        <w:t xml:space="preserve"> is mandatory for “Recommended time of arrival </w:t>
      </w:r>
      <w:r>
        <w:rPr>
          <w:rFonts w:asciiTheme="minorHAnsi" w:eastAsia="SimSun" w:hAnsiTheme="minorHAnsi" w:cs="MS Mincho"/>
          <w:lang w:val="en-US" w:eastAsia="zh-CN"/>
        </w:rPr>
        <w:t>t</w:t>
      </w:r>
      <w:r>
        <w:rPr>
          <w:rFonts w:asciiTheme="minorHAnsi" w:eastAsia="SimSun" w:hAnsiTheme="minorHAnsi" w:cs="MS Mincho"/>
          <w:lang w:eastAsia="zh-CN"/>
        </w:rPr>
        <w:t>o ship”(</w:t>
      </w:r>
      <w:r>
        <w:rPr>
          <w:rFonts w:asciiTheme="minorHAnsi" w:eastAsia="SimSun" w:hAnsiTheme="minorHAnsi" w:cs="MS Mincho"/>
          <w:lang w:val="en-US" w:eastAsia="zh-CN"/>
        </w:rPr>
        <w:t xml:space="preserve"> </w:t>
      </w:r>
      <w:r>
        <w:rPr>
          <w:rFonts w:asciiTheme="minorHAnsi" w:eastAsia="SimSun" w:hAnsiTheme="minorHAnsi" w:cs="MS Mincho"/>
          <w:lang w:eastAsia="zh-CN"/>
        </w:rPr>
        <w:t>Table 18- RouteScheduleElement object attributes</w:t>
      </w:r>
      <w:r>
        <w:rPr>
          <w:rFonts w:asciiTheme="minorHAnsi" w:eastAsia="SimSun" w:hAnsiTheme="minorHAnsi" w:cs="MS Mincho"/>
          <w:lang w:val="en-US" w:eastAsia="zh-CN"/>
        </w:rPr>
        <w:t xml:space="preserve"> </w:t>
      </w:r>
      <w:r>
        <w:rPr>
          <w:rFonts w:asciiTheme="minorHAnsi" w:eastAsia="SimSun" w:hAnsiTheme="minorHAnsi" w:cs="MS Mincho"/>
          <w:lang w:eastAsia="zh-CN"/>
        </w:rPr>
        <w:t>).</w:t>
      </w:r>
    </w:p>
    <w:p w14:paraId="7AC58190" w14:textId="77777777" w:rsidR="006A6DA3" w:rsidRDefault="00000000">
      <w:pPr>
        <w:pStyle w:val="List1"/>
        <w:jc w:val="left"/>
        <w:rPr>
          <w:rFonts w:asciiTheme="minorHAnsi" w:eastAsia="SimSun" w:hAnsiTheme="minorHAnsi" w:cs="MS Mincho"/>
          <w:lang w:eastAsia="zh-CN"/>
        </w:rPr>
      </w:pPr>
      <w:r>
        <w:rPr>
          <w:rFonts w:asciiTheme="minorHAnsi" w:eastAsia="SimSun" w:hAnsiTheme="minorHAnsi" w:cs="MS Mincho"/>
          <w:lang w:eastAsia="zh-CN"/>
        </w:rPr>
        <w:t xml:space="preserve">Considering ECDIS and other on-board system do not support the technical implementation of a single ETA/ETD timestamp exchange </w:t>
      </w:r>
      <w:r>
        <w:rPr>
          <w:rFonts w:asciiTheme="minorHAnsi" w:eastAsia="SimSun" w:hAnsiTheme="minorHAnsi" w:cs="MS Mincho"/>
          <w:lang w:val="en-US" w:eastAsia="zh-CN"/>
        </w:rPr>
        <w:t>outside</w:t>
      </w:r>
      <w:r>
        <w:rPr>
          <w:rFonts w:asciiTheme="minorHAnsi" w:eastAsia="SimSun" w:hAnsiTheme="minorHAnsi" w:cs="MS Mincho"/>
          <w:lang w:eastAsia="zh-CN"/>
        </w:rPr>
        <w:t xml:space="preserve"> of the S-421 standard, and comparing the definitions of ETD/RTD at a specified location and ETA/RTA at a specified location in the IMO Compendium, </w:t>
      </w:r>
      <w:r>
        <w:rPr>
          <w:rFonts w:asciiTheme="minorHAnsi" w:eastAsia="SimSun" w:hAnsiTheme="minorHAnsi" w:cs="MS Mincho"/>
          <w:lang w:val="en-US" w:eastAsia="zh-CN"/>
        </w:rPr>
        <w:t xml:space="preserve">the </w:t>
      </w:r>
      <w:r>
        <w:rPr>
          <w:rFonts w:asciiTheme="minorHAnsi" w:eastAsia="SimSun" w:hAnsiTheme="minorHAnsi" w:cs="MS Mincho"/>
          <w:lang w:eastAsia="zh-CN"/>
        </w:rPr>
        <w:t>mandatory attribute</w:t>
      </w:r>
      <w:r>
        <w:rPr>
          <w:rFonts w:asciiTheme="minorHAnsi" w:eastAsia="SimSun" w:hAnsiTheme="minorHAnsi" w:cs="MS Mincho"/>
          <w:lang w:val="en-US" w:eastAsia="zh-CN"/>
        </w:rPr>
        <w:t xml:space="preserve"> of </w:t>
      </w:r>
      <w:r>
        <w:rPr>
          <w:rFonts w:asciiTheme="minorHAnsi" w:eastAsia="SimSun" w:hAnsiTheme="minorHAnsi" w:cs="MS Mincho"/>
          <w:lang w:eastAsia="zh-CN"/>
        </w:rPr>
        <w:t>RouteScheduleManual/RouteScheduleElement/RouteScheduleElementETA  in the IEC S-421 standard</w:t>
      </w:r>
      <w:r>
        <w:rPr>
          <w:rFonts w:asciiTheme="minorHAnsi" w:eastAsia="SimSun" w:hAnsiTheme="minorHAnsi" w:cs="MS Mincho"/>
          <w:lang w:val="en-US" w:eastAsia="zh-CN"/>
        </w:rPr>
        <w:t xml:space="preserve"> </w:t>
      </w:r>
      <w:r>
        <w:rPr>
          <w:rFonts w:asciiTheme="minorHAnsi" w:eastAsia="SimSun" w:hAnsiTheme="minorHAnsi" w:cs="MS Mincho"/>
          <w:lang w:eastAsia="zh-CN"/>
        </w:rPr>
        <w:t>can be used as a data model and technical implementation of ETA at a specified location in the IMO Compendium. RouteScheduleRecommended/RouteScheduleElement/ routeScheduleElementETA can be used as data model and technical implementation for RTA at a specified location in IMO Compendium</w:t>
      </w:r>
      <w:r>
        <w:rPr>
          <w:rFonts w:asciiTheme="minorHAnsi" w:eastAsia="SimSun" w:hAnsiTheme="minorHAnsi" w:cs="MS Mincho"/>
          <w:lang w:val="en-US" w:eastAsia="zh-CN"/>
        </w:rPr>
        <w:t>.</w:t>
      </w:r>
      <w:r>
        <w:rPr>
          <w:rFonts w:asciiTheme="minorHAnsi" w:eastAsia="SimSun" w:hAnsiTheme="minorHAnsi" w:cs="MS Mincho"/>
          <w:lang w:eastAsia="zh-CN"/>
        </w:rPr>
        <w:t xml:space="preserve"> </w:t>
      </w:r>
      <w:r>
        <w:rPr>
          <w:rFonts w:asciiTheme="minorHAnsi" w:eastAsia="SimSun" w:hAnsiTheme="minorHAnsi" w:cs="MS Mincho"/>
          <w:lang w:val="en-US" w:eastAsia="zh-CN"/>
        </w:rPr>
        <w:t>S</w:t>
      </w:r>
      <w:r>
        <w:rPr>
          <w:rFonts w:asciiTheme="minorHAnsi" w:eastAsia="SimSun" w:hAnsiTheme="minorHAnsi" w:cs="MS Mincho"/>
          <w:lang w:eastAsia="zh-CN"/>
        </w:rPr>
        <w:t>imilarly</w:t>
      </w:r>
      <w:r>
        <w:rPr>
          <w:rFonts w:asciiTheme="minorHAnsi" w:eastAsia="SimSun" w:hAnsiTheme="minorHAnsi" w:cs="MS Mincho"/>
          <w:lang w:val="en-US" w:eastAsia="zh-CN"/>
        </w:rPr>
        <w:t xml:space="preserve">, </w:t>
      </w:r>
      <w:r>
        <w:rPr>
          <w:rFonts w:asciiTheme="minorHAnsi" w:eastAsia="SimSun" w:hAnsiTheme="minorHAnsi" w:cs="MS Mincho"/>
          <w:lang w:eastAsia="zh-CN"/>
        </w:rPr>
        <w:t>RouteScheduleManual/RouteScheduleElement/routeScheduleElementETD and RouteScheduleRecommended/RouteScheduleElement/routeScheduleElementETD in the IEC S-421 standard can be used as data models for ETD/RTD at a specified location in the IMO Compendium</w:t>
      </w:r>
      <w:r>
        <w:rPr>
          <w:rFonts w:asciiTheme="minorHAnsi" w:eastAsia="SimSun" w:hAnsiTheme="minorHAnsi" w:cs="MS Mincho"/>
          <w:lang w:val="en-US" w:eastAsia="zh-CN"/>
        </w:rPr>
        <w:t>. A</w:t>
      </w:r>
      <w:r>
        <w:rPr>
          <w:rFonts w:asciiTheme="minorHAnsi" w:eastAsia="SimSun" w:hAnsiTheme="minorHAnsi" w:cs="MS Mincho"/>
          <w:lang w:eastAsia="zh-CN"/>
        </w:rPr>
        <w:t>nd the optional attributes of the four time uncertainty windows</w:t>
      </w:r>
      <w:r>
        <w:rPr>
          <w:rFonts w:asciiTheme="minorHAnsi" w:eastAsia="SimSun" w:hAnsiTheme="minorHAnsi" w:cs="MS Mincho"/>
          <w:lang w:val="en-US" w:eastAsia="zh-CN"/>
        </w:rPr>
        <w:t xml:space="preserve">, namely,  </w:t>
      </w:r>
      <w:r>
        <w:rPr>
          <w:rFonts w:asciiTheme="minorHAnsi" w:eastAsia="SimSun" w:hAnsiTheme="minorHAnsi" w:cs="MS Mincho"/>
          <w:lang w:eastAsia="zh-CN"/>
        </w:rPr>
        <w:t>routeScheduleElement ETDWindowBefore, routeScheduleElementETDWindowAfter,  routeScheduleElementETAWindow Before, routeScheduleElementETAWindowAfter can be used as a more scientific supporting technical implementation method.</w:t>
      </w:r>
    </w:p>
    <w:p w14:paraId="06087ACF" w14:textId="77777777" w:rsidR="006A6DA3" w:rsidRDefault="006A6DA3">
      <w:pPr>
        <w:pStyle w:val="List1"/>
        <w:numPr>
          <w:ilvl w:val="0"/>
          <w:numId w:val="0"/>
        </w:numPr>
        <w:jc w:val="left"/>
        <w:rPr>
          <w:rFonts w:ascii="SimSun" w:eastAsia="SimSun" w:hAnsi="SimSun" w:cs="MS Mincho"/>
          <w:lang w:eastAsia="zh-CN"/>
        </w:rPr>
      </w:pPr>
    </w:p>
    <w:p w14:paraId="0E5C16AB" w14:textId="77777777" w:rsidR="006A6DA3" w:rsidRDefault="00000000">
      <w:pPr>
        <w:pStyle w:val="Heading2"/>
        <w:rPr>
          <w:lang w:val="en-US" w:eastAsia="zh-CN"/>
        </w:rPr>
      </w:pPr>
      <w:r>
        <w:rPr>
          <w:rFonts w:eastAsia="Calibri"/>
        </w:rPr>
        <w:t>3.5</w:t>
      </w:r>
      <w:r>
        <w:rPr>
          <w:rFonts w:eastAsia="Calibri"/>
        </w:rPr>
        <w:tab/>
      </w:r>
      <w:r>
        <w:rPr>
          <w:rFonts w:hint="eastAsia"/>
          <w:lang w:val="en-US" w:eastAsia="zh-CN"/>
        </w:rPr>
        <w:t>P</w:t>
      </w:r>
      <w:r>
        <w:rPr>
          <w:lang w:val="en-US" w:eastAsia="zh-CN"/>
        </w:rPr>
        <w:t>roposal</w:t>
      </w:r>
    </w:p>
    <w:p w14:paraId="7DDE4BD3" w14:textId="77777777" w:rsidR="006A6DA3" w:rsidRDefault="00000000">
      <w:pPr>
        <w:pStyle w:val="List1"/>
        <w:rPr>
          <w:rFonts w:asciiTheme="minorHAnsi" w:eastAsia="SimSun" w:hAnsiTheme="minorHAnsi" w:cs="MS Mincho"/>
          <w:lang w:eastAsia="zh-CN"/>
        </w:rPr>
      </w:pPr>
      <w:r>
        <w:rPr>
          <w:rFonts w:asciiTheme="minorHAnsi" w:eastAsia="SimSun" w:hAnsiTheme="minorHAnsi" w:cs="MS Mincho"/>
          <w:lang w:eastAsia="zh-CN"/>
        </w:rPr>
        <w:t>In summary, it is proposed that the ETA/RTA/ETD/RTD in TCSF001/TCSF002/TCSF003/TCSF004/ TCSF005/TCSF006/TCSF007 in the functional requirements of 3.2.1 of th</w:t>
      </w:r>
      <w:r>
        <w:rPr>
          <w:rFonts w:asciiTheme="minorHAnsi" w:eastAsia="SimSun" w:hAnsiTheme="minorHAnsi" w:cs="MS Mincho"/>
          <w:lang w:val="en-US" w:eastAsia="zh-CN"/>
        </w:rPr>
        <w:t>e</w:t>
      </w:r>
      <w:r>
        <w:rPr>
          <w:rFonts w:asciiTheme="minorHAnsi" w:eastAsia="SimSun" w:hAnsiTheme="minorHAnsi" w:cs="MS Mincho"/>
          <w:lang w:eastAsia="zh-CN"/>
        </w:rPr>
        <w:t xml:space="preserve"> service specification should be replaced by routeScheduleElementETA</w:t>
      </w:r>
      <w:r>
        <w:rPr>
          <w:rFonts w:asciiTheme="minorHAnsi" w:eastAsia="SimSun" w:hAnsiTheme="minorHAnsi" w:cs="MS Mincho"/>
          <w:lang w:val="en-US" w:eastAsia="zh-CN"/>
        </w:rPr>
        <w:t xml:space="preserve">, </w:t>
      </w:r>
      <w:r>
        <w:rPr>
          <w:rFonts w:asciiTheme="minorHAnsi" w:eastAsia="SimSun" w:hAnsiTheme="minorHAnsi" w:cs="MS Mincho"/>
          <w:lang w:eastAsia="zh-CN"/>
        </w:rPr>
        <w:t>routeScheduleElementETD and its upper level composite element instead, where the example before and after the modification of TCSF001 is as follows:</w:t>
      </w:r>
    </w:p>
    <w:p w14:paraId="540FD636" w14:textId="77777777" w:rsidR="006A6DA3" w:rsidRDefault="00000000">
      <w:pPr>
        <w:pStyle w:val="List1"/>
        <w:numPr>
          <w:ilvl w:val="0"/>
          <w:numId w:val="0"/>
        </w:numPr>
        <w:ind w:left="567"/>
        <w:rPr>
          <w:rFonts w:ascii="SimSun" w:eastAsia="SimSun" w:hAnsi="SimSun" w:cs="MS Mincho"/>
          <w:lang w:eastAsia="zh-CN"/>
        </w:rPr>
      </w:pPr>
      <w:r>
        <w:rPr>
          <w:noProof/>
        </w:rPr>
        <w:drawing>
          <wp:inline distT="0" distB="0" distL="0" distR="0" wp14:anchorId="2795194B" wp14:editId="1DF822B9">
            <wp:extent cx="6120130" cy="219900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6120130" cy="2199005"/>
                    </a:xfrm>
                    <a:prstGeom prst="rect">
                      <a:avLst/>
                    </a:prstGeom>
                  </pic:spPr>
                </pic:pic>
              </a:graphicData>
            </a:graphic>
          </wp:inline>
        </w:drawing>
      </w:r>
    </w:p>
    <w:p w14:paraId="7E99B97E" w14:textId="77777777" w:rsidR="006A6DA3" w:rsidRDefault="00000000">
      <w:pPr>
        <w:pStyle w:val="List1"/>
        <w:numPr>
          <w:ilvl w:val="0"/>
          <w:numId w:val="0"/>
        </w:numPr>
        <w:ind w:left="567"/>
        <w:rPr>
          <w:rFonts w:ascii="SimSun" w:eastAsia="SimSun" w:hAnsi="SimSun" w:cs="MS Mincho"/>
          <w:lang w:eastAsia="zh-CN"/>
        </w:rPr>
      </w:pPr>
      <w:r>
        <w:rPr>
          <w:noProof/>
        </w:rPr>
        <w:lastRenderedPageBreak/>
        <w:drawing>
          <wp:inline distT="0" distB="0" distL="0" distR="0" wp14:anchorId="5358C9D4" wp14:editId="1043B3D1">
            <wp:extent cx="5124450" cy="2244725"/>
            <wp:effectExtent l="0" t="0" r="0" b="317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8"/>
                    <a:stretch>
                      <a:fillRect/>
                    </a:stretch>
                  </pic:blipFill>
                  <pic:spPr>
                    <a:xfrm>
                      <a:off x="0" y="0"/>
                      <a:ext cx="5146746" cy="2254571"/>
                    </a:xfrm>
                    <a:prstGeom prst="rect">
                      <a:avLst/>
                    </a:prstGeom>
                  </pic:spPr>
                </pic:pic>
              </a:graphicData>
            </a:graphic>
          </wp:inline>
        </w:drawing>
      </w:r>
    </w:p>
    <w:p w14:paraId="6A6E1BD8" w14:textId="77777777" w:rsidR="006A6DA3" w:rsidRDefault="00000000">
      <w:pPr>
        <w:pStyle w:val="List1"/>
        <w:rPr>
          <w:rFonts w:ascii="Calibri" w:eastAsia="SimSun" w:hAnsi="Calibri" w:cs="Arial"/>
          <w:lang w:val="en-US" w:eastAsia="zh-CN"/>
        </w:rPr>
      </w:pPr>
      <w:r>
        <w:rPr>
          <w:rFonts w:ascii="Calibri" w:eastAsia="SimSun" w:hAnsi="Calibri" w:cs="Arial"/>
          <w:lang w:val="en-US" w:eastAsia="zh-CN"/>
        </w:rPr>
        <w:t>In addition, it is recommended that</w:t>
      </w:r>
    </w:p>
    <w:p w14:paraId="1D2F1E17" w14:textId="77777777" w:rsidR="006A6DA3" w:rsidRDefault="00000000">
      <w:pPr>
        <w:pStyle w:val="List1indent1"/>
        <w:rPr>
          <w:rFonts w:ascii="Calibri" w:hAnsi="Calibri"/>
          <w:lang w:val="en-US" w:eastAsia="zh-CN"/>
        </w:rPr>
      </w:pPr>
      <w:r>
        <w:rPr>
          <w:rFonts w:ascii="Calibri" w:hAnsi="Calibri"/>
          <w:lang w:val="en-US" w:eastAsia="zh-CN"/>
        </w:rPr>
        <w:t>Review the need to replace the other ETA/RTA/ETD/RTDs of this Service Specification with routeScheduleElementETA, routeScheduleElementETD and their upper level composite element in order to be more in line with the Specification of e-Navigation Technical Services;</w:t>
      </w:r>
    </w:p>
    <w:p w14:paraId="33A20C0F" w14:textId="77777777" w:rsidR="006A6DA3" w:rsidRDefault="00000000">
      <w:pPr>
        <w:pStyle w:val="List1indent1"/>
        <w:rPr>
          <w:rFonts w:ascii="Calibri" w:hAnsi="Calibri"/>
          <w:lang w:val="en-US" w:eastAsia="zh-CN"/>
        </w:rPr>
      </w:pPr>
      <w:r>
        <w:rPr>
          <w:rFonts w:ascii="Calibri" w:hAnsi="Calibri"/>
          <w:lang w:val="en-US" w:eastAsia="zh-CN"/>
        </w:rPr>
        <w:t>Update the following content of the “3 Operational Context” in accordance with the latest version of the IMO ECDIS Performance Standard and its subsequent work plan:</w:t>
      </w:r>
    </w:p>
    <w:p w14:paraId="6AB55BA9" w14:textId="77777777" w:rsidR="006A6DA3" w:rsidRDefault="00000000">
      <w:pPr>
        <w:pStyle w:val="List1indent1"/>
        <w:numPr>
          <w:ilvl w:val="0"/>
          <w:numId w:val="0"/>
        </w:numPr>
        <w:ind w:left="567"/>
        <w:rPr>
          <w:lang w:eastAsia="zh-CN"/>
        </w:rPr>
      </w:pPr>
      <w:r>
        <w:rPr>
          <w:noProof/>
        </w:rPr>
        <w:drawing>
          <wp:inline distT="0" distB="0" distL="0" distR="0" wp14:anchorId="10561EB0" wp14:editId="52E3FD89">
            <wp:extent cx="5808345" cy="2326640"/>
            <wp:effectExtent l="0" t="0" r="190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9"/>
                    <a:stretch>
                      <a:fillRect/>
                    </a:stretch>
                  </pic:blipFill>
                  <pic:spPr>
                    <a:xfrm>
                      <a:off x="0" y="0"/>
                      <a:ext cx="5813807" cy="2329021"/>
                    </a:xfrm>
                    <a:prstGeom prst="rect">
                      <a:avLst/>
                    </a:prstGeom>
                  </pic:spPr>
                </pic:pic>
              </a:graphicData>
            </a:graphic>
          </wp:inline>
        </w:drawing>
      </w:r>
    </w:p>
    <w:bookmarkEnd w:id="4"/>
    <w:p w14:paraId="4A8A55C9" w14:textId="77777777" w:rsidR="006A6DA3" w:rsidRDefault="00000000">
      <w:pPr>
        <w:pStyle w:val="List1"/>
        <w:numPr>
          <w:ilvl w:val="0"/>
          <w:numId w:val="0"/>
        </w:numPr>
        <w:ind w:left="567"/>
        <w:rPr>
          <w:rFonts w:ascii="Calibri" w:hAnsi="Calibri"/>
          <w:lang w:val="en-US"/>
        </w:rPr>
      </w:pPr>
      <w:r>
        <w:rPr>
          <w:noProof/>
        </w:rPr>
        <w:drawing>
          <wp:inline distT="0" distB="0" distL="0" distR="0" wp14:anchorId="0F824212" wp14:editId="132D6317">
            <wp:extent cx="2818130" cy="2430780"/>
            <wp:effectExtent l="0" t="0" r="127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826872" cy="2438243"/>
                    </a:xfrm>
                    <a:prstGeom prst="rect">
                      <a:avLst/>
                    </a:prstGeom>
                  </pic:spPr>
                </pic:pic>
              </a:graphicData>
            </a:graphic>
          </wp:inline>
        </w:drawing>
      </w:r>
    </w:p>
    <w:p w14:paraId="3809CF5F" w14:textId="77777777" w:rsidR="006A6DA3" w:rsidRDefault="00000000">
      <w:pPr>
        <w:pStyle w:val="List1"/>
        <w:rPr>
          <w:rFonts w:ascii="Calibri" w:eastAsia="SimSun" w:hAnsi="Calibri" w:cs="Arial"/>
          <w:lang w:val="en-US" w:eastAsia="zh-CN"/>
        </w:rPr>
      </w:pPr>
      <w:r>
        <w:rPr>
          <w:rFonts w:ascii="Calibri" w:eastAsia="SimSun" w:hAnsi="Calibri" w:cs="Arial"/>
          <w:lang w:val="en-US" w:eastAsia="zh-CN"/>
        </w:rPr>
        <w:t>Finally, the following updates to the “7 references” are recommended:</w:t>
      </w:r>
    </w:p>
    <w:p w14:paraId="6B6530B2" w14:textId="77777777" w:rsidR="006A6DA3" w:rsidRDefault="00000000">
      <w:pPr>
        <w:pStyle w:val="List1indent1"/>
        <w:rPr>
          <w:rFonts w:ascii="Calibri" w:hAnsi="Calibri"/>
          <w:lang w:val="en-US" w:eastAsia="zh-CN"/>
        </w:rPr>
      </w:pPr>
      <w:r>
        <w:rPr>
          <w:rFonts w:ascii="Calibri" w:hAnsi="Calibri"/>
          <w:lang w:val="en-US" w:eastAsia="zh-CN"/>
        </w:rPr>
        <w:t>G1128 has been updated to version 1.6 at the October 2024 DTEC3;</w:t>
      </w:r>
    </w:p>
    <w:p w14:paraId="240A1DEB" w14:textId="77777777" w:rsidR="006A6DA3" w:rsidRDefault="00000000">
      <w:pPr>
        <w:pStyle w:val="List1indent1"/>
        <w:rPr>
          <w:rFonts w:ascii="Calibri" w:hAnsi="Calibri"/>
          <w:lang w:val="en-US" w:eastAsia="zh-CN"/>
        </w:rPr>
      </w:pPr>
      <w:r>
        <w:rPr>
          <w:rFonts w:ascii="Calibri" w:hAnsi="Calibri"/>
          <w:lang w:val="en-US" w:eastAsia="zh-CN"/>
        </w:rPr>
        <w:lastRenderedPageBreak/>
        <w:t>It is recommended to add references to MSC 108 (MSC.530(106) REV.1) and IEC S-421 standard.</w:t>
      </w:r>
    </w:p>
    <w:p w14:paraId="332A8096" w14:textId="77777777" w:rsidR="006A6DA3" w:rsidRDefault="00000000">
      <w:pPr>
        <w:pStyle w:val="Heading1"/>
        <w:numPr>
          <w:ilvl w:val="0"/>
          <w:numId w:val="15"/>
        </w:numPr>
        <w:rPr>
          <w:rFonts w:eastAsia="Calibri"/>
        </w:rPr>
      </w:pPr>
      <w:r>
        <w:rPr>
          <w:rFonts w:eastAsia="Calibri"/>
        </w:rPr>
        <w:t>References</w:t>
      </w:r>
    </w:p>
    <w:p w14:paraId="0093C786" w14:textId="77777777" w:rsidR="006A6DA3" w:rsidRDefault="00000000">
      <w:pPr>
        <w:pStyle w:val="References"/>
        <w:numPr>
          <w:ilvl w:val="0"/>
          <w:numId w:val="16"/>
        </w:numPr>
        <w:rPr>
          <w:rFonts w:asciiTheme="minorHAnsi" w:hAnsiTheme="minorHAnsi"/>
          <w:lang w:eastAsia="zh-CN"/>
        </w:rPr>
      </w:pPr>
      <w:r>
        <w:rPr>
          <w:rFonts w:asciiTheme="minorHAnsi" w:hAnsiTheme="minorHAnsi"/>
          <w:lang w:eastAsia="zh-CN"/>
        </w:rPr>
        <w:t xml:space="preserve">IALA G1128 </w:t>
      </w:r>
      <w:r>
        <w:rPr>
          <w:rFonts w:asciiTheme="minorHAnsi" w:hAnsiTheme="minorHAnsi"/>
          <w:i/>
          <w:iCs/>
          <w:lang w:eastAsia="zh-CN"/>
        </w:rPr>
        <w:t>Revised G1128 Specification of e-Navigation Technical Services Ed1.6</w:t>
      </w:r>
    </w:p>
    <w:p w14:paraId="405A08AA" w14:textId="77777777" w:rsidR="006A6DA3" w:rsidRDefault="00000000">
      <w:pPr>
        <w:pStyle w:val="References"/>
        <w:numPr>
          <w:ilvl w:val="0"/>
          <w:numId w:val="16"/>
        </w:numPr>
        <w:rPr>
          <w:rFonts w:asciiTheme="minorHAnsi" w:hAnsiTheme="minorHAnsi"/>
          <w:szCs w:val="22"/>
          <w:lang w:val="en-US" w:eastAsia="zh-CN"/>
        </w:rPr>
      </w:pPr>
      <w:r>
        <w:rPr>
          <w:rFonts w:asciiTheme="minorHAnsi" w:hAnsiTheme="minorHAnsi"/>
        </w:rPr>
        <w:t xml:space="preserve">IMO </w:t>
      </w:r>
      <w:r>
        <w:rPr>
          <w:rFonts w:asciiTheme="minorHAnsi" w:hAnsiTheme="minorHAnsi"/>
          <w:szCs w:val="22"/>
          <w:lang w:val="en-US" w:eastAsia="zh-CN"/>
        </w:rPr>
        <w:t>Resolution MSC.530(106) REV.1</w:t>
      </w:r>
      <w:r>
        <w:rPr>
          <w:rFonts w:asciiTheme="minorHAnsi" w:hAnsiTheme="minorHAnsi" w:cstheme="minorHAnsi"/>
          <w:i/>
          <w:iCs/>
          <w:lang w:val="en-US"/>
        </w:rPr>
        <w:t xml:space="preserve"> ECDIS Performance Standard</w:t>
      </w:r>
      <w:r>
        <w:rPr>
          <w:rFonts w:asciiTheme="minorHAnsi" w:hAnsiTheme="minorHAnsi"/>
          <w:szCs w:val="22"/>
          <w:lang w:val="en-US" w:eastAsia="zh-CN"/>
        </w:rPr>
        <w:t xml:space="preserve"> </w:t>
      </w:r>
    </w:p>
    <w:p w14:paraId="590B494F" w14:textId="77777777" w:rsidR="006A6DA3" w:rsidRDefault="00000000">
      <w:pPr>
        <w:pStyle w:val="References"/>
        <w:rPr>
          <w:rFonts w:asciiTheme="minorHAnsi" w:hAnsiTheme="minorHAnsi"/>
          <w:szCs w:val="22"/>
          <w:lang w:val="en-US" w:eastAsia="zh-CN"/>
        </w:rPr>
      </w:pPr>
      <w:r>
        <w:rPr>
          <w:rFonts w:asciiTheme="minorHAnsi" w:hAnsiTheme="minorHAnsi"/>
          <w:szCs w:val="22"/>
          <w:lang w:val="en-US" w:eastAsia="zh-CN"/>
        </w:rPr>
        <w:t>IMO MSC.1CIRC.1610 REV.1 DESCRIPTIONS OF MARITIME SERVICES IN THE CONTEXT OF E-NAVIGATION</w:t>
      </w:r>
    </w:p>
    <w:p w14:paraId="2108420E" w14:textId="77777777" w:rsidR="006A6DA3" w:rsidRDefault="00000000">
      <w:pPr>
        <w:pStyle w:val="References"/>
        <w:rPr>
          <w:rFonts w:asciiTheme="minorHAnsi" w:hAnsiTheme="minorHAnsi"/>
          <w:szCs w:val="22"/>
          <w:lang w:val="en-US" w:eastAsia="zh-CN"/>
        </w:rPr>
      </w:pPr>
      <w:r>
        <w:rPr>
          <w:rFonts w:asciiTheme="minorHAnsi" w:hAnsiTheme="minorHAnsi"/>
          <w:szCs w:val="22"/>
          <w:lang w:val="en-US" w:eastAsia="zh-CN"/>
        </w:rPr>
        <w:t xml:space="preserve">IEC 63173-1:2021 </w:t>
      </w:r>
      <w:r>
        <w:rPr>
          <w:rFonts w:asciiTheme="minorHAnsi" w:hAnsiTheme="minorHAnsi"/>
          <w:lang w:val="en-US" w:eastAsia="zh-CN"/>
        </w:rPr>
        <w:t>Maritime navigation and radio</w:t>
      </w:r>
      <w:r>
        <w:rPr>
          <w:rFonts w:asciiTheme="minorHAnsi" w:hAnsiTheme="minorHAnsi" w:hint="eastAsia"/>
          <w:lang w:val="en-US" w:eastAsia="zh-CN"/>
        </w:rPr>
        <w:t xml:space="preserve"> </w:t>
      </w:r>
      <w:r>
        <w:rPr>
          <w:rFonts w:asciiTheme="minorHAnsi" w:hAnsiTheme="minorHAnsi"/>
          <w:lang w:val="en-US" w:eastAsia="zh-CN"/>
        </w:rPr>
        <w:t xml:space="preserve">communication equipment and systems – Data interface – Part 1: S-421 route </w:t>
      </w:r>
      <w:r>
        <w:rPr>
          <w:rFonts w:asciiTheme="minorHAnsi" w:hAnsiTheme="minorHAnsi" w:cs="SimSun"/>
          <w:color w:val="000000"/>
          <w:szCs w:val="22"/>
          <w:lang w:val="en-US" w:eastAsia="zh-CN"/>
        </w:rPr>
        <w:t>plan based on S-100</w:t>
      </w:r>
    </w:p>
    <w:p w14:paraId="54DACB35" w14:textId="77777777" w:rsidR="006A6DA3" w:rsidRDefault="006A6DA3">
      <w:pPr>
        <w:pStyle w:val="References"/>
        <w:numPr>
          <w:ilvl w:val="0"/>
          <w:numId w:val="0"/>
        </w:numPr>
        <w:rPr>
          <w:rFonts w:ascii="Calibri" w:hAnsi="Calibri"/>
          <w:lang w:eastAsia="de-DE"/>
        </w:rPr>
      </w:pPr>
    </w:p>
    <w:p w14:paraId="68B28BF7" w14:textId="77777777" w:rsidR="006A6DA3" w:rsidRDefault="00000000">
      <w:pPr>
        <w:pStyle w:val="Heading1"/>
        <w:numPr>
          <w:ilvl w:val="0"/>
          <w:numId w:val="15"/>
        </w:numPr>
        <w:rPr>
          <w:rFonts w:eastAsia="Calibri"/>
        </w:rPr>
      </w:pPr>
      <w:r>
        <w:rPr>
          <w:rFonts w:eastAsia="Calibri"/>
        </w:rPr>
        <w:t>Action requested of the Committee</w:t>
      </w:r>
    </w:p>
    <w:p w14:paraId="24B06929" w14:textId="77777777" w:rsidR="006A6DA3" w:rsidRDefault="00000000">
      <w:pPr>
        <w:pStyle w:val="BodyText"/>
        <w:rPr>
          <w:rFonts w:ascii="Calibri" w:hAnsi="Calibri"/>
          <w:b/>
          <w:caps/>
          <w:color w:val="0070C0"/>
          <w:kern w:val="28"/>
          <w:sz w:val="24"/>
          <w:lang w:eastAsia="de-DE"/>
        </w:rPr>
      </w:pPr>
      <w:r>
        <w:rPr>
          <w:rFonts w:ascii="Calibri" w:hAnsi="Calibri"/>
          <w:lang w:val="en-US"/>
        </w:rPr>
        <w:t>The Committee is requested to consider the proposals in this document and take actions as appropriate.</w:t>
      </w:r>
    </w:p>
    <w:p w14:paraId="1EBF08FD" w14:textId="77777777" w:rsidR="006A6DA3" w:rsidRDefault="006A6DA3">
      <w:pPr>
        <w:pStyle w:val="List1"/>
        <w:numPr>
          <w:ilvl w:val="0"/>
          <w:numId w:val="0"/>
        </w:numPr>
        <w:rPr>
          <w:rFonts w:ascii="Calibri" w:hAnsi="Calibri"/>
          <w:b/>
          <w:caps/>
          <w:color w:val="0070C0"/>
          <w:kern w:val="28"/>
          <w:sz w:val="24"/>
          <w:lang w:eastAsia="de-DE"/>
        </w:rPr>
      </w:pPr>
    </w:p>
    <w:sectPr w:rsidR="006A6DA3">
      <w:headerReference w:type="even" r:id="rId21"/>
      <w:headerReference w:type="default" r:id="rId22"/>
      <w:footerReference w:type="default" r:id="rId23"/>
      <w:headerReference w:type="first" r:id="rId2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BEFD" w14:textId="77777777" w:rsidR="00E94E53" w:rsidRDefault="00E94E53">
      <w:pPr>
        <w:spacing w:after="0" w:line="240" w:lineRule="auto"/>
      </w:pPr>
      <w:r>
        <w:separator/>
      </w:r>
    </w:p>
  </w:endnote>
  <w:endnote w:type="continuationSeparator" w:id="0">
    <w:p w14:paraId="30992D7E" w14:textId="77777777" w:rsidR="00E94E53" w:rsidRDefault="00E9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pitch w:val="default"/>
    <w:sig w:usb0="00000000" w:usb1="00000000"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04E6" w14:textId="77777777" w:rsidR="006A6DA3" w:rsidRDefault="00000000">
    <w:pPr>
      <w:pStyle w:val="Footer"/>
      <w:rPr>
        <w:rFonts w:ascii="Calibri" w:hAnsi="Calibri"/>
      </w:rPr>
    </w:pPr>
    <w:r>
      <w:rPr>
        <w:rFonts w:ascii="Calibri" w:hAnsi="Calibri"/>
        <w:sz w:val="20"/>
        <w:szCs w:val="20"/>
      </w:rPr>
      <w:t>Proposals on the “Service Specification for VTS Traffic Clearance Service Edition 1.4”</w:t>
    </w:r>
    <w:r>
      <w:rPr>
        <w:rFonts w:ascii="Calibri"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C012" w14:textId="77777777" w:rsidR="00E94E53" w:rsidRDefault="00E94E53">
      <w:r>
        <w:separator/>
      </w:r>
    </w:p>
  </w:footnote>
  <w:footnote w:type="continuationSeparator" w:id="0">
    <w:p w14:paraId="2B172155" w14:textId="77777777" w:rsidR="00E94E53" w:rsidRDefault="00E94E53">
      <w:r>
        <w:continuationSeparator/>
      </w:r>
    </w:p>
  </w:footnote>
  <w:footnote w:id="1">
    <w:p w14:paraId="6AF5EA82" w14:textId="77777777" w:rsidR="006A6DA3" w:rsidRDefault="00000000">
      <w:pPr>
        <w:pStyle w:val="FootnoteText"/>
        <w:rPr>
          <w:lang w:val="en-US"/>
        </w:rPr>
      </w:pPr>
      <w:r>
        <w:rPr>
          <w:rStyle w:val="FootnoteReference"/>
        </w:rPr>
        <w:footnoteRef/>
      </w:r>
      <w:r>
        <w:t xml:space="preserve"> </w:t>
      </w:r>
      <w:r>
        <w:rPr>
          <w:sz w:val="16"/>
          <w:szCs w:val="16"/>
        </w:rPr>
        <w:t>Input document number, to be assigned by the Committee Secretary</w:t>
      </w:r>
    </w:p>
  </w:footnote>
  <w:footnote w:id="2">
    <w:p w14:paraId="77326C0B" w14:textId="77777777" w:rsidR="006A6DA3" w:rsidRDefault="00000000">
      <w:pPr>
        <w:pStyle w:val="FootnoteText"/>
      </w:pPr>
      <w:r>
        <w:rPr>
          <w:rStyle w:val="FootnoteReference"/>
        </w:rPr>
        <w:footnoteRef/>
      </w:r>
      <w:r>
        <w:t xml:space="preserve"> </w:t>
      </w:r>
      <w:r>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9118" w14:textId="7A4FCD5C" w:rsidR="006A6DA3" w:rsidRDefault="006A6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5B84" w14:textId="628642D9" w:rsidR="006A6DA3" w:rsidRDefault="00000000">
    <w:pPr>
      <w:pStyle w:val="Header"/>
      <w:jc w:val="right"/>
    </w:pPr>
    <w:r>
      <w:rPr>
        <w:noProof/>
      </w:rPr>
      <w:drawing>
        <wp:anchor distT="0" distB="0" distL="114300" distR="114300" simplePos="0" relativeHeight="251655680" behindDoc="0" locked="0" layoutInCell="1" allowOverlap="1" wp14:anchorId="6EC0C15A" wp14:editId="73C68CC8">
          <wp:simplePos x="0" y="0"/>
          <wp:positionH relativeFrom="column">
            <wp:posOffset>5447030</wp:posOffset>
          </wp:positionH>
          <wp:positionV relativeFrom="paragraph">
            <wp:posOffset>-427990</wp:posOffset>
          </wp:positionV>
          <wp:extent cx="574675" cy="56007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E094" w14:textId="77777777" w:rsidR="006A6DA3" w:rsidRDefault="00000000">
    <w:pPr>
      <w:pStyle w:val="Header"/>
      <w:jc w:val="center"/>
    </w:pPr>
    <w:r>
      <w:rPr>
        <w:noProof/>
      </w:rPr>
      <w:drawing>
        <wp:anchor distT="0" distB="0" distL="114300" distR="114300" simplePos="0" relativeHeight="251656704" behindDoc="0" locked="0" layoutInCell="1" allowOverlap="1" wp14:anchorId="4AD9CDAB" wp14:editId="20B3F97B">
          <wp:simplePos x="0" y="0"/>
          <wp:positionH relativeFrom="column">
            <wp:posOffset>2522855</wp:posOffset>
          </wp:positionH>
          <wp:positionV relativeFrom="paragraph">
            <wp:posOffset>-405130</wp:posOffset>
          </wp:positionV>
          <wp:extent cx="852805" cy="831215"/>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24EF6822" w14:textId="77777777" w:rsidR="006A6DA3" w:rsidRDefault="006A6DA3">
    <w:pPr>
      <w:pStyle w:val="Header"/>
      <w:jc w:val="center"/>
    </w:pPr>
  </w:p>
  <w:p w14:paraId="0F7A9614" w14:textId="546D25CB" w:rsidR="006A6DA3" w:rsidRDefault="006A6DA3">
    <w:pPr>
      <w:pStyle w:val="Header"/>
      <w:jc w:val="center"/>
      <w:rPr>
        <w:lang w:eastAsia="zh-CN"/>
      </w:rPr>
    </w:pPr>
  </w:p>
  <w:p w14:paraId="6CDC39CE" w14:textId="77777777" w:rsidR="006A6DA3" w:rsidRDefault="006A6DA3">
    <w:pPr>
      <w:pStyle w:val="Header"/>
      <w:jc w:val="cente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14:shadow w14:blurRad="0" w14:dist="0" w14:dir="0" w14:sx="0" w14:sy="0" w14:kx="0" w14:ky="0" w14:algn="none">
          <w14:srgbClr w14:val="000000"/>
        </w14:shadow>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lvlText w:val="%1"/>
      <w:lvlJc w:val="left"/>
      <w:pPr>
        <w:tabs>
          <w:tab w:val="left" w:pos="567"/>
        </w:tabs>
        <w:ind w:left="567" w:hanging="567"/>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1985"/>
        </w:tabs>
        <w:ind w:left="1985" w:hanging="992"/>
      </w:pPr>
      <w:rPr>
        <w:rFonts w:hint="default"/>
      </w:rPr>
    </w:lvl>
    <w:lvl w:ilvl="3">
      <w:start w:val="1"/>
      <w:numFmt w:val="decimal"/>
      <w:lvlText w:val="%1.%2.%3.%4"/>
      <w:lvlJc w:val="left"/>
      <w:pPr>
        <w:tabs>
          <w:tab w:val="left" w:pos="1134"/>
        </w:tabs>
        <w:ind w:left="1134" w:hanging="113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6"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4"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944143809">
    <w:abstractNumId w:val="12"/>
  </w:num>
  <w:num w:numId="2" w16cid:durableId="1167477263">
    <w:abstractNumId w:val="8"/>
  </w:num>
  <w:num w:numId="3" w16cid:durableId="1769933270">
    <w:abstractNumId w:val="1"/>
  </w:num>
  <w:num w:numId="4" w16cid:durableId="616568950">
    <w:abstractNumId w:val="14"/>
  </w:num>
  <w:num w:numId="5" w16cid:durableId="1225528680">
    <w:abstractNumId w:val="10"/>
  </w:num>
  <w:num w:numId="6" w16cid:durableId="1108042768">
    <w:abstractNumId w:val="9"/>
  </w:num>
  <w:num w:numId="7" w16cid:durableId="1472939641">
    <w:abstractNumId w:val="7"/>
  </w:num>
  <w:num w:numId="8" w16cid:durableId="381171634">
    <w:abstractNumId w:val="13"/>
  </w:num>
  <w:num w:numId="9" w16cid:durableId="1254508798">
    <w:abstractNumId w:val="6"/>
  </w:num>
  <w:num w:numId="10" w16cid:durableId="1505630761">
    <w:abstractNumId w:val="11"/>
  </w:num>
  <w:num w:numId="11" w16cid:durableId="2003972703">
    <w:abstractNumId w:val="3"/>
  </w:num>
  <w:num w:numId="12" w16cid:durableId="847133892">
    <w:abstractNumId w:val="4"/>
  </w:num>
  <w:num w:numId="13" w16cid:durableId="577135302">
    <w:abstractNumId w:val="5"/>
  </w:num>
  <w:num w:numId="14" w16cid:durableId="808863139">
    <w:abstractNumId w:val="0"/>
  </w:num>
  <w:num w:numId="15" w16cid:durableId="546916555">
    <w:abstractNumId w:val="2"/>
  </w:num>
  <w:num w:numId="16" w16cid:durableId="1719934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74"/>
    <w:rsid w:val="BBE748A5"/>
    <w:rsid w:val="DBFFFDFE"/>
    <w:rsid w:val="000005D3"/>
    <w:rsid w:val="000049D8"/>
    <w:rsid w:val="00024497"/>
    <w:rsid w:val="00036A03"/>
    <w:rsid w:val="00036B9E"/>
    <w:rsid w:val="00037DF4"/>
    <w:rsid w:val="00042584"/>
    <w:rsid w:val="0004700E"/>
    <w:rsid w:val="00070C13"/>
    <w:rsid w:val="000715C9"/>
    <w:rsid w:val="00084F33"/>
    <w:rsid w:val="000A2309"/>
    <w:rsid w:val="000A77A7"/>
    <w:rsid w:val="000B1707"/>
    <w:rsid w:val="000B51C9"/>
    <w:rsid w:val="000C1B3E"/>
    <w:rsid w:val="000C202B"/>
    <w:rsid w:val="000C24AF"/>
    <w:rsid w:val="000C349E"/>
    <w:rsid w:val="000E25B8"/>
    <w:rsid w:val="000F0576"/>
    <w:rsid w:val="000F2584"/>
    <w:rsid w:val="000F72BA"/>
    <w:rsid w:val="00110AE7"/>
    <w:rsid w:val="00110C3F"/>
    <w:rsid w:val="00146E5F"/>
    <w:rsid w:val="001624A2"/>
    <w:rsid w:val="00177F4D"/>
    <w:rsid w:val="00180DDA"/>
    <w:rsid w:val="001B2A2D"/>
    <w:rsid w:val="001B737D"/>
    <w:rsid w:val="001C44A3"/>
    <w:rsid w:val="001E0E15"/>
    <w:rsid w:val="001E75BF"/>
    <w:rsid w:val="001F528A"/>
    <w:rsid w:val="001F704E"/>
    <w:rsid w:val="001F772B"/>
    <w:rsid w:val="00200241"/>
    <w:rsid w:val="00201722"/>
    <w:rsid w:val="00201CD3"/>
    <w:rsid w:val="002067E8"/>
    <w:rsid w:val="002117DF"/>
    <w:rsid w:val="002125B0"/>
    <w:rsid w:val="00215BC5"/>
    <w:rsid w:val="002166D4"/>
    <w:rsid w:val="00230D88"/>
    <w:rsid w:val="00243228"/>
    <w:rsid w:val="00247C5E"/>
    <w:rsid w:val="00251483"/>
    <w:rsid w:val="00255CAA"/>
    <w:rsid w:val="00264305"/>
    <w:rsid w:val="002962B7"/>
    <w:rsid w:val="002A0346"/>
    <w:rsid w:val="002A4487"/>
    <w:rsid w:val="002B49E9"/>
    <w:rsid w:val="002C632E"/>
    <w:rsid w:val="002D3E8B"/>
    <w:rsid w:val="002D4575"/>
    <w:rsid w:val="002D5C0C"/>
    <w:rsid w:val="002E03D1"/>
    <w:rsid w:val="002E2F24"/>
    <w:rsid w:val="002E6B74"/>
    <w:rsid w:val="002E6FCA"/>
    <w:rsid w:val="003039D6"/>
    <w:rsid w:val="00356CD0"/>
    <w:rsid w:val="00362CD9"/>
    <w:rsid w:val="003703A8"/>
    <w:rsid w:val="003761CA"/>
    <w:rsid w:val="00380DAF"/>
    <w:rsid w:val="003972CE"/>
    <w:rsid w:val="003B28F5"/>
    <w:rsid w:val="003B7B7D"/>
    <w:rsid w:val="003C2F78"/>
    <w:rsid w:val="003C54CB"/>
    <w:rsid w:val="003C7A2A"/>
    <w:rsid w:val="003D2DC1"/>
    <w:rsid w:val="003D69D0"/>
    <w:rsid w:val="003F2918"/>
    <w:rsid w:val="003F430E"/>
    <w:rsid w:val="004002A3"/>
    <w:rsid w:val="0041088C"/>
    <w:rsid w:val="00412DD0"/>
    <w:rsid w:val="0041482C"/>
    <w:rsid w:val="00420A38"/>
    <w:rsid w:val="00431B19"/>
    <w:rsid w:val="00432203"/>
    <w:rsid w:val="004661AD"/>
    <w:rsid w:val="00476D19"/>
    <w:rsid w:val="004A6C1D"/>
    <w:rsid w:val="004D1B4D"/>
    <w:rsid w:val="004D1D85"/>
    <w:rsid w:val="004D3C3A"/>
    <w:rsid w:val="004E1CD1"/>
    <w:rsid w:val="004F7EFC"/>
    <w:rsid w:val="005053B5"/>
    <w:rsid w:val="005107EB"/>
    <w:rsid w:val="00521345"/>
    <w:rsid w:val="00526DF0"/>
    <w:rsid w:val="00530EF0"/>
    <w:rsid w:val="00535012"/>
    <w:rsid w:val="00545CC4"/>
    <w:rsid w:val="00551FFF"/>
    <w:rsid w:val="005607A2"/>
    <w:rsid w:val="00565E53"/>
    <w:rsid w:val="005660A2"/>
    <w:rsid w:val="0057198B"/>
    <w:rsid w:val="00573CFE"/>
    <w:rsid w:val="00576339"/>
    <w:rsid w:val="00590E05"/>
    <w:rsid w:val="005969F2"/>
    <w:rsid w:val="00597FAE"/>
    <w:rsid w:val="005B156F"/>
    <w:rsid w:val="005B23B6"/>
    <w:rsid w:val="005B32A3"/>
    <w:rsid w:val="005C0D44"/>
    <w:rsid w:val="005C566C"/>
    <w:rsid w:val="005C7E69"/>
    <w:rsid w:val="005E262D"/>
    <w:rsid w:val="005F23D3"/>
    <w:rsid w:val="005F7E20"/>
    <w:rsid w:val="00605E43"/>
    <w:rsid w:val="00612E0F"/>
    <w:rsid w:val="006153BB"/>
    <w:rsid w:val="00624475"/>
    <w:rsid w:val="00636E02"/>
    <w:rsid w:val="00650DD8"/>
    <w:rsid w:val="006652C3"/>
    <w:rsid w:val="00691FD0"/>
    <w:rsid w:val="00692148"/>
    <w:rsid w:val="006A1A1E"/>
    <w:rsid w:val="006A1A68"/>
    <w:rsid w:val="006A6DA3"/>
    <w:rsid w:val="006C3737"/>
    <w:rsid w:val="006C5948"/>
    <w:rsid w:val="006D3F69"/>
    <w:rsid w:val="006F2A74"/>
    <w:rsid w:val="006F3FA2"/>
    <w:rsid w:val="007000D4"/>
    <w:rsid w:val="007118F5"/>
    <w:rsid w:val="00712AA4"/>
    <w:rsid w:val="007146C4"/>
    <w:rsid w:val="00721AA1"/>
    <w:rsid w:val="00724B67"/>
    <w:rsid w:val="007451C7"/>
    <w:rsid w:val="007547F8"/>
    <w:rsid w:val="007619B0"/>
    <w:rsid w:val="007651B9"/>
    <w:rsid w:val="00765622"/>
    <w:rsid w:val="00770B6C"/>
    <w:rsid w:val="00771461"/>
    <w:rsid w:val="0078230A"/>
    <w:rsid w:val="00783FEA"/>
    <w:rsid w:val="007A395D"/>
    <w:rsid w:val="007B6BD5"/>
    <w:rsid w:val="007C346C"/>
    <w:rsid w:val="007D0709"/>
    <w:rsid w:val="007E6479"/>
    <w:rsid w:val="007F50C2"/>
    <w:rsid w:val="0080294B"/>
    <w:rsid w:val="0082480E"/>
    <w:rsid w:val="0082538A"/>
    <w:rsid w:val="00832B2B"/>
    <w:rsid w:val="00845A56"/>
    <w:rsid w:val="00850293"/>
    <w:rsid w:val="00851373"/>
    <w:rsid w:val="00851BA6"/>
    <w:rsid w:val="0085654D"/>
    <w:rsid w:val="00861160"/>
    <w:rsid w:val="0086654F"/>
    <w:rsid w:val="00881498"/>
    <w:rsid w:val="008A356F"/>
    <w:rsid w:val="008A4653"/>
    <w:rsid w:val="008A4717"/>
    <w:rsid w:val="008A50CC"/>
    <w:rsid w:val="008B3040"/>
    <w:rsid w:val="008C13F1"/>
    <w:rsid w:val="008C51F1"/>
    <w:rsid w:val="008D1694"/>
    <w:rsid w:val="008D79CB"/>
    <w:rsid w:val="008F07BC"/>
    <w:rsid w:val="00925857"/>
    <w:rsid w:val="0092692B"/>
    <w:rsid w:val="00930561"/>
    <w:rsid w:val="009424BB"/>
    <w:rsid w:val="00943E9C"/>
    <w:rsid w:val="00950A41"/>
    <w:rsid w:val="00953F4D"/>
    <w:rsid w:val="0095705C"/>
    <w:rsid w:val="00960BB8"/>
    <w:rsid w:val="00964F5C"/>
    <w:rsid w:val="009709DA"/>
    <w:rsid w:val="00973B57"/>
    <w:rsid w:val="00975900"/>
    <w:rsid w:val="009831C0"/>
    <w:rsid w:val="0099161D"/>
    <w:rsid w:val="009957D6"/>
    <w:rsid w:val="00A0389B"/>
    <w:rsid w:val="00A27C48"/>
    <w:rsid w:val="00A33A3C"/>
    <w:rsid w:val="00A366B6"/>
    <w:rsid w:val="00A446C9"/>
    <w:rsid w:val="00A635D6"/>
    <w:rsid w:val="00A81876"/>
    <w:rsid w:val="00A8553A"/>
    <w:rsid w:val="00A93AED"/>
    <w:rsid w:val="00AB6FBD"/>
    <w:rsid w:val="00AD62EB"/>
    <w:rsid w:val="00AE1319"/>
    <w:rsid w:val="00AE34BB"/>
    <w:rsid w:val="00AF041C"/>
    <w:rsid w:val="00B226F2"/>
    <w:rsid w:val="00B274DF"/>
    <w:rsid w:val="00B56BDF"/>
    <w:rsid w:val="00B628EC"/>
    <w:rsid w:val="00B65812"/>
    <w:rsid w:val="00B85CD6"/>
    <w:rsid w:val="00B90A27"/>
    <w:rsid w:val="00B9554D"/>
    <w:rsid w:val="00BA582A"/>
    <w:rsid w:val="00BB2B9F"/>
    <w:rsid w:val="00BB7D9E"/>
    <w:rsid w:val="00BC2334"/>
    <w:rsid w:val="00BD3CB8"/>
    <w:rsid w:val="00BD3FB8"/>
    <w:rsid w:val="00BD4E6F"/>
    <w:rsid w:val="00BD588A"/>
    <w:rsid w:val="00BF32F0"/>
    <w:rsid w:val="00BF4DCE"/>
    <w:rsid w:val="00C05CE5"/>
    <w:rsid w:val="00C27878"/>
    <w:rsid w:val="00C6171E"/>
    <w:rsid w:val="00CA6F2C"/>
    <w:rsid w:val="00CB253B"/>
    <w:rsid w:val="00CB3A0B"/>
    <w:rsid w:val="00CD6A13"/>
    <w:rsid w:val="00CF1871"/>
    <w:rsid w:val="00D014BB"/>
    <w:rsid w:val="00D01874"/>
    <w:rsid w:val="00D019CE"/>
    <w:rsid w:val="00D10186"/>
    <w:rsid w:val="00D1133E"/>
    <w:rsid w:val="00D17A34"/>
    <w:rsid w:val="00D26628"/>
    <w:rsid w:val="00D27B4E"/>
    <w:rsid w:val="00D332B3"/>
    <w:rsid w:val="00D55207"/>
    <w:rsid w:val="00D55A83"/>
    <w:rsid w:val="00D61235"/>
    <w:rsid w:val="00D81801"/>
    <w:rsid w:val="00D92B45"/>
    <w:rsid w:val="00D95962"/>
    <w:rsid w:val="00DC389B"/>
    <w:rsid w:val="00DD60A9"/>
    <w:rsid w:val="00DE2FEE"/>
    <w:rsid w:val="00DF06FB"/>
    <w:rsid w:val="00DF1467"/>
    <w:rsid w:val="00DF56A1"/>
    <w:rsid w:val="00E00BE9"/>
    <w:rsid w:val="00E22A11"/>
    <w:rsid w:val="00E31E5C"/>
    <w:rsid w:val="00E44DD2"/>
    <w:rsid w:val="00E54868"/>
    <w:rsid w:val="00E558C3"/>
    <w:rsid w:val="00E55927"/>
    <w:rsid w:val="00E60540"/>
    <w:rsid w:val="00E8235D"/>
    <w:rsid w:val="00E912A6"/>
    <w:rsid w:val="00E94E53"/>
    <w:rsid w:val="00EA218E"/>
    <w:rsid w:val="00EA4844"/>
    <w:rsid w:val="00EA4D9C"/>
    <w:rsid w:val="00EA5A97"/>
    <w:rsid w:val="00EB2248"/>
    <w:rsid w:val="00EB75EE"/>
    <w:rsid w:val="00EE0576"/>
    <w:rsid w:val="00EE3CC5"/>
    <w:rsid w:val="00EE4C1D"/>
    <w:rsid w:val="00EF3501"/>
    <w:rsid w:val="00EF3685"/>
    <w:rsid w:val="00F04350"/>
    <w:rsid w:val="00F133DB"/>
    <w:rsid w:val="00F159EB"/>
    <w:rsid w:val="00F25BF4"/>
    <w:rsid w:val="00F267DB"/>
    <w:rsid w:val="00F46F6F"/>
    <w:rsid w:val="00F60608"/>
    <w:rsid w:val="00F62217"/>
    <w:rsid w:val="00F6553C"/>
    <w:rsid w:val="00F81A1B"/>
    <w:rsid w:val="00FB17A9"/>
    <w:rsid w:val="00FB527C"/>
    <w:rsid w:val="00FB68A8"/>
    <w:rsid w:val="00FB6F75"/>
    <w:rsid w:val="00FC0EB3"/>
    <w:rsid w:val="00FD675E"/>
    <w:rsid w:val="00FE5674"/>
    <w:rsid w:val="2F6D722F"/>
    <w:rsid w:val="67E73143"/>
    <w:rsid w:val="70CC45CC"/>
    <w:rsid w:val="77DCC947"/>
    <w:rsid w:val="77EF3CB8"/>
    <w:rsid w:val="7AFD7B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23979"/>
  <w15:docId w15:val="{BC9BF9A8-4047-4C61-97B7-73D93BD6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Calibri"/>
      <w:sz w:val="22"/>
      <w:szCs w:val="22"/>
    </w:rPr>
  </w:style>
  <w:style w:type="paragraph" w:styleId="Heading1">
    <w:name w:val="heading 1"/>
    <w:basedOn w:val="Normal"/>
    <w:next w:val="BodyText"/>
    <w:link w:val="Heading1Char"/>
    <w:qFormat/>
    <w:pPr>
      <w:keepNext/>
      <w:tabs>
        <w:tab w:val="left" w:pos="567"/>
      </w:tabs>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pPr>
      <w:tabs>
        <w:tab w:val="left" w:pos="567"/>
        <w:tab w:val="left" w:pos="851"/>
      </w:tabs>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pPr>
      <w:keepNext/>
      <w:tabs>
        <w:tab w:val="left" w:pos="567"/>
        <w:tab w:val="left" w:pos="992"/>
      </w:tabs>
      <w:spacing w:before="120" w:after="120"/>
      <w:outlineLvl w:val="2"/>
    </w:pPr>
    <w:rPr>
      <w:szCs w:val="20"/>
      <w:lang w:eastAsia="de-DE"/>
    </w:rPr>
  </w:style>
  <w:style w:type="paragraph" w:styleId="Heading4">
    <w:name w:val="heading 4"/>
    <w:basedOn w:val="Normal"/>
    <w:next w:val="BodyTextIndent"/>
    <w:link w:val="Heading4Char"/>
    <w:qFormat/>
    <w:pPr>
      <w:keepNext/>
      <w:tabs>
        <w:tab w:val="left" w:pos="567"/>
        <w:tab w:val="left" w:pos="1134"/>
      </w:tabs>
      <w:spacing w:before="120" w:after="120"/>
      <w:outlineLvl w:val="3"/>
    </w:pPr>
    <w:rPr>
      <w:szCs w:val="20"/>
      <w:lang w:val="en-US" w:eastAsia="de-DE"/>
    </w:rPr>
  </w:style>
  <w:style w:type="paragraph" w:styleId="Heading5">
    <w:name w:val="heading 5"/>
    <w:basedOn w:val="Normal"/>
    <w:next w:val="Normal"/>
    <w:link w:val="Heading5Char"/>
    <w:qFormat/>
    <w:pPr>
      <w:tabs>
        <w:tab w:val="left" w:pos="567"/>
        <w:tab w:val="left" w:pos="1008"/>
      </w:tabs>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tabs>
        <w:tab w:val="left" w:pos="567"/>
        <w:tab w:val="left" w:pos="1152"/>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tabs>
        <w:tab w:val="left" w:pos="567"/>
        <w:tab w:val="left" w:pos="1296"/>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tabs>
        <w:tab w:val="left" w:pos="567"/>
        <w:tab w:val="left" w:pos="1440"/>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tabs>
        <w:tab w:val="left" w:pos="567"/>
        <w:tab w:val="left" w:pos="1584"/>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style>
  <w:style w:type="paragraph" w:styleId="BodyTextIndent">
    <w:name w:val="Body Text Indent"/>
    <w:basedOn w:val="Normal"/>
    <w:link w:val="BodyTextIndentChar"/>
    <w:qFormat/>
    <w:pPr>
      <w:spacing w:after="120"/>
      <w:ind w:left="567"/>
    </w:p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TOC5">
    <w:name w:val="toc 5"/>
    <w:basedOn w:val="Normal"/>
    <w:next w:val="Normal"/>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semiHidden/>
    <w:qFormat/>
    <w:pPr>
      <w:ind w:left="144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820"/>
        <w:tab w:val="right" w:pos="9639"/>
      </w:tabs>
    </w:pPr>
  </w:style>
  <w:style w:type="paragraph" w:styleId="Header">
    <w:name w:val="header"/>
    <w:basedOn w:val="Normal"/>
    <w:link w:val="HeaderChar"/>
    <w:qFormat/>
    <w:pPr>
      <w:tabs>
        <w:tab w:val="center" w:pos="4820"/>
        <w:tab w:val="right" w:pos="9639"/>
      </w:tabs>
    </w:pPr>
  </w:style>
  <w:style w:type="paragraph" w:styleId="TOC1">
    <w:name w:val="toc 1"/>
    <w:basedOn w:val="Normal"/>
    <w:next w:val="Normal"/>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qFormat/>
    <w:pPr>
      <w:spacing w:after="60"/>
      <w:jc w:val="center"/>
      <w:outlineLvl w:val="1"/>
    </w:pPr>
    <w:rPr>
      <w:rFonts w:cs="Arial"/>
    </w:rPr>
  </w:style>
  <w:style w:type="paragraph" w:styleId="FootnoteText">
    <w:name w:val="footnote text"/>
    <w:basedOn w:val="Normal"/>
    <w:link w:val="FootnoteTextChar"/>
    <w:semiHidden/>
    <w:qFormat/>
    <w:rPr>
      <w:sz w:val="20"/>
      <w:szCs w:val="20"/>
    </w:rPr>
  </w:style>
  <w:style w:type="paragraph" w:styleId="TOC6">
    <w:name w:val="toc 6"/>
    <w:basedOn w:val="Normal"/>
    <w:next w:val="Normal"/>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semiHidden/>
    <w:qFormat/>
    <w:pPr>
      <w:ind w:left="1680"/>
    </w:pPr>
    <w:rPr>
      <w:sz w:val="20"/>
      <w:szCs w:val="20"/>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character" w:styleId="Hyperlink">
    <w:name w:val="Hyperlink"/>
    <w:uiPriority w:val="99"/>
    <w:qFormat/>
    <w:rPr>
      <w:vertAlign w:val="baselin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semiHidden/>
    <w:qFormat/>
    <w:rPr>
      <w:rFonts w:ascii="Arial" w:hAnsi="Arial"/>
      <w:sz w:val="16"/>
    </w:rPr>
  </w:style>
  <w:style w:type="character" w:customStyle="1" w:styleId="Heading1Char">
    <w:name w:val="Heading 1 Char"/>
    <w:link w:val="Heading1"/>
    <w:qFormat/>
    <w:rPr>
      <w:rFonts w:cs="Calibri"/>
      <w:b/>
      <w:caps/>
      <w:color w:val="0070C0"/>
      <w:kern w:val="28"/>
      <w:sz w:val="24"/>
      <w:szCs w:val="22"/>
      <w:lang w:eastAsia="de-DE"/>
    </w:rPr>
  </w:style>
  <w:style w:type="character" w:customStyle="1" w:styleId="Heading2Char">
    <w:name w:val="Heading 2 Char"/>
    <w:link w:val="Heading2"/>
    <w:qFormat/>
    <w:rPr>
      <w:rFonts w:cs="Calibri"/>
      <w:b/>
      <w:color w:val="0070C0"/>
      <w:sz w:val="24"/>
      <w:szCs w:val="24"/>
    </w:rPr>
  </w:style>
  <w:style w:type="paragraph" w:customStyle="1" w:styleId="Annex">
    <w:name w:val="Annex"/>
    <w:basedOn w:val="Heading1"/>
    <w:next w:val="Normal"/>
    <w:qFormat/>
    <w:pPr>
      <w:numPr>
        <w:numId w:val="1"/>
      </w:numPr>
      <w:tabs>
        <w:tab w:val="left" w:pos="1701"/>
      </w:tabs>
      <w:jc w:val="both"/>
    </w:pPr>
    <w:rPr>
      <w:snapToGrid w:val="0"/>
      <w:kern w:val="0"/>
      <w:lang w:eastAsia="en-GB"/>
    </w:rPr>
  </w:style>
  <w:style w:type="paragraph" w:customStyle="1" w:styleId="AnnexFigure">
    <w:name w:val="Annex Figure"/>
    <w:basedOn w:val="Normal"/>
    <w:next w:val="Normal"/>
    <w:qFormat/>
    <w:pPr>
      <w:numPr>
        <w:numId w:val="2"/>
      </w:numPr>
      <w:spacing w:before="120" w:after="120"/>
      <w:jc w:val="center"/>
    </w:pPr>
    <w:rPr>
      <w:i/>
    </w:rPr>
  </w:style>
  <w:style w:type="paragraph" w:customStyle="1" w:styleId="AnnexHeading1">
    <w:name w:val="Annex Heading 1"/>
    <w:basedOn w:val="Normal"/>
    <w:next w:val="BodyText"/>
    <w:qFormat/>
    <w:pPr>
      <w:numPr>
        <w:numId w:val="3"/>
      </w:numPr>
      <w:spacing w:before="120" w:after="120"/>
    </w:pPr>
    <w:rPr>
      <w:rFonts w:cs="Arial"/>
      <w:b/>
      <w:caps/>
      <w:sz w:val="24"/>
    </w:rPr>
  </w:style>
  <w:style w:type="paragraph" w:customStyle="1" w:styleId="AnnexHeading2">
    <w:name w:val="Annex Heading 2"/>
    <w:basedOn w:val="Normal"/>
    <w:next w:val="BodyText"/>
    <w:qFormat/>
    <w:pPr>
      <w:numPr>
        <w:ilvl w:val="1"/>
        <w:numId w:val="3"/>
      </w:numPr>
      <w:spacing w:before="120" w:after="120"/>
    </w:pPr>
    <w:rPr>
      <w:rFonts w:cs="Arial"/>
      <w:b/>
    </w:rPr>
  </w:style>
  <w:style w:type="paragraph" w:customStyle="1" w:styleId="AnnexHeading3">
    <w:name w:val="Annex Heading 3"/>
    <w:basedOn w:val="Normal"/>
    <w:next w:val="Normal"/>
    <w:qFormat/>
    <w:pPr>
      <w:numPr>
        <w:ilvl w:val="2"/>
        <w:numId w:val="3"/>
      </w:numPr>
      <w:spacing w:before="120" w:after="120"/>
    </w:pPr>
    <w:rPr>
      <w:rFonts w:cs="Arial"/>
    </w:rPr>
  </w:style>
  <w:style w:type="paragraph" w:customStyle="1" w:styleId="AnnexHeading4">
    <w:name w:val="Annex Heading 4"/>
    <w:basedOn w:val="Normal"/>
    <w:next w:val="BodyText"/>
    <w:qFormat/>
    <w:pPr>
      <w:numPr>
        <w:ilvl w:val="3"/>
        <w:numId w:val="3"/>
      </w:numPr>
      <w:spacing w:before="120" w:after="120"/>
    </w:pPr>
    <w:rPr>
      <w:rFonts w:cs="Arial"/>
    </w:rPr>
  </w:style>
  <w:style w:type="paragraph" w:customStyle="1" w:styleId="AnnexTable">
    <w:name w:val="Annex Table"/>
    <w:basedOn w:val="Normal"/>
    <w:next w:val="Normal"/>
    <w:qFormat/>
    <w:pPr>
      <w:numPr>
        <w:numId w:val="4"/>
      </w:numPr>
      <w:tabs>
        <w:tab w:val="left" w:pos="1418"/>
      </w:tabs>
      <w:spacing w:before="120" w:after="120"/>
      <w:jc w:val="center"/>
    </w:pPr>
    <w:rPr>
      <w:i/>
    </w:rPr>
  </w:style>
  <w:style w:type="character" w:customStyle="1" w:styleId="BodyTextChar">
    <w:name w:val="Body Text Char"/>
    <w:link w:val="BodyText"/>
    <w:qFormat/>
    <w:rPr>
      <w:rFonts w:ascii="Arial" w:hAnsi="Arial" w:cs="Times New Roman"/>
      <w:szCs w:val="24"/>
    </w:rPr>
  </w:style>
  <w:style w:type="paragraph" w:customStyle="1" w:styleId="Bullet1">
    <w:name w:val="Bullet 1"/>
    <w:basedOn w:val="Normal"/>
    <w:qFormat/>
    <w:pPr>
      <w:numPr>
        <w:numId w:val="5"/>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6"/>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7"/>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8"/>
      </w:numPr>
      <w:spacing w:before="120" w:after="120"/>
      <w:jc w:val="center"/>
    </w:pPr>
    <w:rPr>
      <w:i/>
      <w:szCs w:val="20"/>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qFormat/>
    <w:rPr>
      <w:rFonts w:ascii="Arial" w:eastAsia="Calibri" w:hAnsi="Arial" w:cs="Times New Roman"/>
      <w:szCs w:val="24"/>
      <w:lang w:eastAsia="en-GB"/>
    </w:rPr>
  </w:style>
  <w:style w:type="character" w:customStyle="1" w:styleId="Heading3Char">
    <w:name w:val="Heading 3 Char"/>
    <w:link w:val="Heading3"/>
    <w:qFormat/>
    <w:rPr>
      <w:rFonts w:ascii="Arial" w:hAnsi="Arial" w:cs="Calibri"/>
      <w:sz w:val="22"/>
      <w:lang w:eastAsia="de-DE"/>
    </w:rPr>
  </w:style>
  <w:style w:type="character" w:customStyle="1" w:styleId="Heading4Char">
    <w:name w:val="Heading 4 Char"/>
    <w:link w:val="Heading4"/>
    <w:qFormat/>
    <w:rPr>
      <w:rFonts w:ascii="Arial" w:hAnsi="Arial" w:cs="Calibri"/>
      <w:sz w:val="22"/>
      <w:lang w:val="en-US" w:eastAsia="de-DE"/>
    </w:rPr>
  </w:style>
  <w:style w:type="character" w:customStyle="1" w:styleId="Heading5Char">
    <w:name w:val="Heading 5 Char"/>
    <w:link w:val="Heading5"/>
    <w:qFormat/>
    <w:rPr>
      <w:rFonts w:ascii="Arial" w:eastAsia="Times New Roman" w:hAnsi="Arial"/>
      <w:sz w:val="22"/>
      <w:lang w:val="de-DE" w:eastAsia="de-DE"/>
    </w:rPr>
  </w:style>
  <w:style w:type="character" w:customStyle="1" w:styleId="Heading6Char">
    <w:name w:val="Heading 6 Char"/>
    <w:link w:val="Heading6"/>
    <w:qFormat/>
    <w:rPr>
      <w:rFonts w:ascii="Arial" w:hAnsi="Arial" w:cs="Calibri"/>
      <w:sz w:val="22"/>
      <w:lang w:val="de-DE" w:eastAsia="de-DE"/>
    </w:rPr>
  </w:style>
  <w:style w:type="character" w:customStyle="1" w:styleId="Heading7Char">
    <w:name w:val="Heading 7 Char"/>
    <w:link w:val="Heading7"/>
    <w:qFormat/>
    <w:rPr>
      <w:rFonts w:ascii="Arial" w:hAnsi="Arial" w:cs="Calibri"/>
      <w:sz w:val="22"/>
      <w:lang w:val="de-DE" w:eastAsia="de-DE"/>
    </w:rPr>
  </w:style>
  <w:style w:type="character" w:customStyle="1" w:styleId="Heading8Char">
    <w:name w:val="Heading 8 Char"/>
    <w:link w:val="Heading8"/>
    <w:qFormat/>
    <w:rPr>
      <w:rFonts w:ascii="Arial" w:hAnsi="Arial" w:cs="Calibri"/>
      <w:sz w:val="22"/>
      <w:lang w:val="de-DE" w:eastAsia="de-DE"/>
    </w:rPr>
  </w:style>
  <w:style w:type="character" w:customStyle="1" w:styleId="Heading9Char">
    <w:name w:val="Heading 9 Char"/>
    <w:link w:val="Heading9"/>
    <w:qFormat/>
    <w:rPr>
      <w:rFonts w:ascii="Arial" w:hAnsi="Arial" w:cs="Calibri"/>
      <w:sz w:val="22"/>
      <w:lang w:val="de-DE" w:eastAsia="de-DE"/>
    </w:rPr>
  </w:style>
  <w:style w:type="paragraph" w:customStyle="1" w:styleId="List1">
    <w:name w:val="List 1"/>
    <w:basedOn w:val="Normal"/>
    <w:qFormat/>
    <w:pPr>
      <w:numPr>
        <w:numId w:val="9"/>
      </w:numPr>
      <w:spacing w:after="120"/>
      <w:jc w:val="both"/>
    </w:pPr>
    <w:rPr>
      <w:rFonts w:eastAsia="MS Mincho"/>
      <w:lang w:eastAsia="ja-JP"/>
    </w:rPr>
  </w:style>
  <w:style w:type="paragraph" w:customStyle="1" w:styleId="List1indent2">
    <w:name w:val="List 1 indent 2"/>
    <w:basedOn w:val="Normal"/>
    <w:qFormat/>
    <w:pPr>
      <w:widowControl w:val="0"/>
      <w:numPr>
        <w:ilvl w:val="2"/>
        <w:numId w:val="9"/>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0"/>
      </w:numPr>
      <w:spacing w:before="120" w:after="120"/>
      <w:jc w:val="center"/>
    </w:pPr>
    <w:rPr>
      <w:i/>
      <w:szCs w:val="20"/>
    </w:rPr>
  </w:style>
  <w:style w:type="character" w:customStyle="1" w:styleId="BodyTextIndentChar">
    <w:name w:val="Body Text Indent Char"/>
    <w:link w:val="BodyTextIndent"/>
    <w:qFormat/>
    <w:rPr>
      <w:rFonts w:ascii="Arial" w:hAnsi="Arial" w:cs="Times New Roman"/>
      <w:szCs w:val="24"/>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FootnoteTextChar">
    <w:name w:val="Footnote Text Char"/>
    <w:link w:val="FootnoteText"/>
    <w:semiHidden/>
    <w:qFormat/>
    <w:rPr>
      <w:rFonts w:ascii="Arial" w:hAnsi="Arial" w:cs="Times New Roman"/>
      <w:sz w:val="20"/>
      <w:szCs w:val="20"/>
    </w:rPr>
  </w:style>
  <w:style w:type="character" w:customStyle="1" w:styleId="SubtitleChar">
    <w:name w:val="Subtitle Char"/>
    <w:link w:val="Subtitle"/>
    <w:qFormat/>
    <w:rPr>
      <w:rFonts w:ascii="Arial" w:hAnsi="Arial" w:cs="Arial"/>
      <w:szCs w:val="24"/>
    </w:rPr>
  </w:style>
  <w:style w:type="character" w:customStyle="1" w:styleId="TitleChar">
    <w:name w:val="Title Char"/>
    <w:link w:val="Title"/>
    <w:qFormat/>
    <w:rPr>
      <w:rFonts w:ascii="Arial" w:hAnsi="Arial" w:cs="Arial"/>
      <w:b/>
      <w:bCs/>
      <w:kern w:val="28"/>
      <w:sz w:val="32"/>
      <w:szCs w:val="32"/>
    </w:rPr>
  </w:style>
  <w:style w:type="paragraph" w:customStyle="1" w:styleId="List1indent1">
    <w:name w:val="List 1 indent 1"/>
    <w:basedOn w:val="Normal"/>
    <w:qFormat/>
    <w:pPr>
      <w:numPr>
        <w:ilvl w:val="1"/>
        <w:numId w:val="9"/>
      </w:numPr>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11"/>
      </w:numPr>
      <w:spacing w:after="120"/>
    </w:pPr>
    <w:rPr>
      <w:szCs w:val="20"/>
    </w:rPr>
  </w:style>
  <w:style w:type="paragraph" w:customStyle="1" w:styleId="AppendixHeading1">
    <w:name w:val="Appendix Heading 1"/>
    <w:basedOn w:val="Normal"/>
    <w:next w:val="BodyText"/>
    <w:qFormat/>
    <w:pPr>
      <w:numPr>
        <w:numId w:val="12"/>
      </w:numPr>
      <w:spacing w:before="120" w:after="120"/>
    </w:pPr>
    <w:rPr>
      <w:rFonts w:cs="Arial"/>
      <w:b/>
      <w:caps/>
      <w:sz w:val="24"/>
    </w:rPr>
  </w:style>
  <w:style w:type="paragraph" w:customStyle="1" w:styleId="AppendixHeading2">
    <w:name w:val="Appendix Heading 2"/>
    <w:basedOn w:val="Normal"/>
    <w:next w:val="BodyText"/>
    <w:qFormat/>
    <w:pPr>
      <w:numPr>
        <w:ilvl w:val="1"/>
        <w:numId w:val="12"/>
      </w:numPr>
      <w:spacing w:before="120" w:after="120"/>
    </w:pPr>
    <w:rPr>
      <w:rFonts w:cs="Arial"/>
      <w:b/>
    </w:rPr>
  </w:style>
  <w:style w:type="paragraph" w:customStyle="1" w:styleId="AppendixHeading3">
    <w:name w:val="Appendix Heading 3"/>
    <w:basedOn w:val="Normal"/>
    <w:next w:val="Normal"/>
    <w:qFormat/>
    <w:pPr>
      <w:numPr>
        <w:ilvl w:val="2"/>
        <w:numId w:val="12"/>
      </w:numPr>
      <w:spacing w:before="120" w:after="120"/>
    </w:pPr>
    <w:rPr>
      <w:rFonts w:cs="Arial"/>
    </w:rPr>
  </w:style>
  <w:style w:type="paragraph" w:customStyle="1" w:styleId="AppendixHeading4">
    <w:name w:val="Appendix Heading 4"/>
    <w:basedOn w:val="Normal"/>
    <w:next w:val="BodyText"/>
    <w:qFormat/>
    <w:pPr>
      <w:numPr>
        <w:ilvl w:val="3"/>
        <w:numId w:val="12"/>
      </w:numPr>
      <w:spacing w:before="120" w:after="120"/>
    </w:pPr>
    <w:rPr>
      <w:rFonts w:cs="Arial"/>
    </w:rPr>
  </w:style>
  <w:style w:type="paragraph" w:customStyle="1" w:styleId="equation">
    <w:name w:val="equation"/>
    <w:basedOn w:val="Normal"/>
    <w:next w:val="BodyText"/>
    <w:qFormat/>
    <w:pPr>
      <w:keepNext/>
      <w:numPr>
        <w:numId w:val="13"/>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4"/>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qFormat/>
    <w:pPr>
      <w:ind w:left="720"/>
      <w:contextualSpacing/>
    </w:pPr>
  </w:style>
  <w:style w:type="character" w:customStyle="1" w:styleId="CommentTextChar">
    <w:name w:val="Comment Text Char"/>
    <w:basedOn w:val="DefaultParagraphFont"/>
    <w:link w:val="CommentText"/>
    <w:uiPriority w:val="99"/>
    <w:semiHidden/>
    <w:qFormat/>
    <w:rPr>
      <w:rFonts w:ascii="Arial" w:hAnsi="Arial" w:cs="Calibri"/>
    </w:rPr>
  </w:style>
  <w:style w:type="character" w:customStyle="1" w:styleId="CommentSubjectChar">
    <w:name w:val="Comment Subject Char"/>
    <w:basedOn w:val="CommentTextChar"/>
    <w:link w:val="CommentSubject"/>
    <w:uiPriority w:val="99"/>
    <w:semiHidden/>
    <w:qFormat/>
    <w:rPr>
      <w:rFonts w:ascii="Arial" w:hAnsi="Arial" w:cs="Calibri"/>
      <w:b/>
      <w:bCs/>
    </w:rPr>
  </w:style>
  <w:style w:type="paragraph" w:customStyle="1" w:styleId="1">
    <w:name w:val="列表段落1"/>
    <w:basedOn w:val="Normal"/>
    <w:qFormat/>
    <w:pPr>
      <w:suppressAutoHyphens/>
      <w:spacing w:before="100" w:beforeAutospacing="1" w:after="200" w:line="273" w:lineRule="auto"/>
      <w:ind w:left="720"/>
      <w:contextualSpacing/>
    </w:pPr>
    <w:rPr>
      <w:rFonts w:ascii="Helvetica" w:hAnsi="Helvetica" w:cs="SimHei"/>
      <w:color w:val="08374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1487</Words>
  <Characters>8478</Characters>
  <Application>Microsoft Office Word</Application>
  <DocSecurity>0</DocSecurity>
  <Lines>70</Lines>
  <Paragraphs>19</Paragraphs>
  <ScaleCrop>false</ScaleCrop>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11</cp:revision>
  <dcterms:created xsi:type="dcterms:W3CDTF">2025-01-04T02:04:00Z</dcterms:created>
  <dcterms:modified xsi:type="dcterms:W3CDTF">2025-02-25T17:44:00Z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MediaServiceImageTags">
    <vt:lpwstr/>
  </property>
  <property fmtid="{D5CDD505-2E9C-101B-9397-08002B2CF9AE}" pid="5" name="KSOProductBuildVer">
    <vt:lpwstr>2052-11.8.2.10505</vt:lpwstr>
  </property>
  <property fmtid="{D5CDD505-2E9C-101B-9397-08002B2CF9AE}" pid="6" name="KSOTemplateDocerSaveRecord">
    <vt:lpwstr>eyJoZGlkIjoiYjk5ODM0YmMxOWJiYWQyNDU4MGIzYWRmYTA0ZmI5NDcifQ==</vt:lpwstr>
  </property>
  <property fmtid="{D5CDD505-2E9C-101B-9397-08002B2CF9AE}" pid="7" name="ICV">
    <vt:lpwstr>5DB3C51CEC574827A28DC738CF78B369_12</vt:lpwstr>
  </property>
</Properties>
</file>