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ED8" w14:textId="43A13395" w:rsidR="008119D7" w:rsidRPr="004953F1" w:rsidRDefault="00EF6EAC">
      <w:pPr>
        <w:pStyle w:val="Header"/>
        <w:tabs>
          <w:tab w:val="clear" w:pos="9639"/>
          <w:tab w:val="right" w:pos="5954"/>
        </w:tabs>
        <w:spacing w:after="240"/>
        <w:jc w:val="right"/>
        <w:rPr>
          <w:rFonts w:asciiTheme="minorHAnsi" w:hAnsiTheme="minorHAnsi" w:cstheme="minorHAnsi"/>
        </w:rPr>
      </w:pPr>
      <w:r w:rsidRPr="004953F1">
        <w:rPr>
          <w:rFonts w:asciiTheme="minorHAnsi" w:hAnsiTheme="minorHAnsi" w:cstheme="minorHAnsi"/>
        </w:rPr>
        <w:t xml:space="preserve">Input paper: </w:t>
      </w:r>
      <w:r w:rsidRPr="004953F1">
        <w:rPr>
          <w:rStyle w:val="FootnoteReference"/>
          <w:rFonts w:asciiTheme="minorHAnsi" w:hAnsiTheme="minorHAnsi" w:cstheme="minorHAnsi"/>
          <w:sz w:val="22"/>
          <w:vertAlign w:val="superscript"/>
        </w:rPr>
        <w:footnoteReference w:id="1"/>
      </w:r>
      <w:r w:rsidRPr="004953F1">
        <w:rPr>
          <w:rFonts w:asciiTheme="minorHAnsi" w:hAnsiTheme="minorHAnsi" w:cstheme="minorHAnsi"/>
        </w:rPr>
        <w:t xml:space="preserve">  VTS5</w:t>
      </w:r>
      <w:r w:rsidRPr="004953F1">
        <w:rPr>
          <w:rFonts w:asciiTheme="minorHAnsi" w:eastAsia="SimSun" w:hAnsiTheme="minorHAnsi" w:cstheme="minorHAnsi"/>
          <w:lang w:val="en-US" w:eastAsia="zh-CN"/>
        </w:rPr>
        <w:t>8</w:t>
      </w:r>
      <w:r w:rsidRPr="004953F1">
        <w:rPr>
          <w:rFonts w:asciiTheme="minorHAnsi" w:hAnsiTheme="minorHAnsi" w:cstheme="minorHAnsi"/>
        </w:rPr>
        <w:t>-</w:t>
      </w:r>
      <w:r w:rsidR="002A6B43">
        <w:rPr>
          <w:rFonts w:asciiTheme="minorHAnsi" w:hAnsiTheme="minorHAnsi" w:cstheme="minorHAnsi"/>
        </w:rPr>
        <w:t>7.2.7</w:t>
      </w:r>
    </w:p>
    <w:p w14:paraId="70DE6ED9" w14:textId="77777777" w:rsidR="008119D7" w:rsidRPr="004953F1" w:rsidRDefault="008119D7">
      <w:pPr>
        <w:pStyle w:val="BodyText"/>
        <w:tabs>
          <w:tab w:val="left" w:pos="2835"/>
        </w:tabs>
        <w:rPr>
          <w:rFonts w:asciiTheme="minorHAnsi" w:hAnsiTheme="minorHAnsi" w:cstheme="minorHAnsi"/>
        </w:rPr>
      </w:pPr>
    </w:p>
    <w:p w14:paraId="70DE6EDA" w14:textId="77777777" w:rsidR="008119D7" w:rsidRPr="004953F1" w:rsidRDefault="008119D7">
      <w:pPr>
        <w:pStyle w:val="BodyText"/>
        <w:tabs>
          <w:tab w:val="left" w:pos="2835"/>
        </w:tabs>
        <w:rPr>
          <w:rFonts w:asciiTheme="minorHAnsi" w:hAnsiTheme="minorHAnsi" w:cstheme="minorHAnsi"/>
        </w:rPr>
      </w:pPr>
    </w:p>
    <w:p w14:paraId="70DE6EDB" w14:textId="77777777" w:rsidR="008119D7" w:rsidRPr="004953F1" w:rsidRDefault="00EF6EAC">
      <w:pPr>
        <w:pStyle w:val="BodyText"/>
        <w:tabs>
          <w:tab w:val="left" w:pos="2835"/>
        </w:tabs>
        <w:rPr>
          <w:rFonts w:asciiTheme="minorHAnsi" w:hAnsiTheme="minorHAnsi" w:cstheme="minorHAnsi"/>
        </w:rPr>
      </w:pPr>
      <w:r w:rsidRPr="004953F1">
        <w:rPr>
          <w:rFonts w:asciiTheme="minorHAnsi" w:hAnsiTheme="minorHAnsi" w:cstheme="minorHAnsi"/>
        </w:rPr>
        <w:t xml:space="preserve">Input paper for the following Committee(s): </w:t>
      </w:r>
      <w:r w:rsidRPr="004953F1">
        <w:rPr>
          <w:rFonts w:asciiTheme="minorHAnsi" w:hAnsiTheme="minorHAnsi" w:cstheme="minorHAnsi"/>
        </w:rPr>
        <w:tab/>
      </w:r>
      <w:r w:rsidRPr="004953F1">
        <w:rPr>
          <w:rFonts w:asciiTheme="minorHAnsi" w:hAnsiTheme="minorHAnsi" w:cstheme="minorHAnsi"/>
          <w:sz w:val="18"/>
          <w:szCs w:val="18"/>
        </w:rPr>
        <w:t>check as appropriate</w:t>
      </w:r>
      <w:r w:rsidRPr="004953F1">
        <w:rPr>
          <w:rFonts w:asciiTheme="minorHAnsi" w:hAnsiTheme="minorHAnsi" w:cstheme="minorHAnsi"/>
          <w:sz w:val="18"/>
          <w:szCs w:val="18"/>
        </w:rPr>
        <w:tab/>
      </w:r>
      <w:r w:rsidRPr="004953F1">
        <w:rPr>
          <w:rFonts w:asciiTheme="minorHAnsi" w:hAnsiTheme="minorHAnsi" w:cstheme="minorHAnsi"/>
        </w:rPr>
        <w:tab/>
        <w:t>Purpose of paper:</w:t>
      </w:r>
    </w:p>
    <w:p w14:paraId="70DE6EDC" w14:textId="77777777" w:rsidR="008119D7" w:rsidRPr="004953F1" w:rsidRDefault="00EF6EAC">
      <w:pPr>
        <w:pStyle w:val="BodyText"/>
        <w:tabs>
          <w:tab w:val="left" w:pos="1843"/>
        </w:tabs>
        <w:rPr>
          <w:rFonts w:asciiTheme="minorHAnsi" w:hAnsiTheme="minorHAnsi" w:cstheme="minorHAnsi"/>
          <w:b/>
          <w:sz w:val="24"/>
          <w:szCs w:val="24"/>
        </w:rPr>
      </w:pPr>
      <w:r w:rsidRPr="004953F1">
        <w:rPr>
          <w:rFonts w:asciiTheme="minorHAnsi" w:hAnsiTheme="minorHAnsi" w:cstheme="minorHAnsi"/>
          <w:b/>
          <w:sz w:val="24"/>
          <w:szCs w:val="24"/>
        </w:rPr>
        <w:t>□</w:t>
      </w:r>
      <w:r w:rsidRPr="004953F1">
        <w:rPr>
          <w:rFonts w:asciiTheme="minorHAnsi" w:hAnsiTheme="minorHAnsi" w:cstheme="minorHAnsi"/>
          <w:sz w:val="24"/>
          <w:szCs w:val="24"/>
        </w:rPr>
        <w:t xml:space="preserve">  </w:t>
      </w:r>
      <w:r w:rsidRPr="004953F1">
        <w:rPr>
          <w:rFonts w:asciiTheme="minorHAnsi" w:hAnsiTheme="minorHAnsi" w:cstheme="minorHAnsi"/>
        </w:rPr>
        <w:t>ARM</w:t>
      </w:r>
      <w:r w:rsidRPr="004953F1">
        <w:rPr>
          <w:rFonts w:asciiTheme="minorHAnsi" w:hAnsiTheme="minorHAnsi" w:cstheme="minorHAnsi"/>
        </w:rPr>
        <w:tab/>
      </w:r>
      <w:r w:rsidRPr="004953F1">
        <w:rPr>
          <w:rFonts w:asciiTheme="minorHAnsi" w:hAnsiTheme="minorHAnsi" w:cstheme="minorHAnsi"/>
          <w:b/>
          <w:sz w:val="24"/>
          <w:szCs w:val="24"/>
        </w:rPr>
        <w:t>□</w:t>
      </w:r>
      <w:r w:rsidRPr="004953F1">
        <w:rPr>
          <w:rFonts w:asciiTheme="minorHAnsi" w:hAnsiTheme="minorHAnsi" w:cstheme="minorHAnsi"/>
          <w:sz w:val="24"/>
          <w:szCs w:val="24"/>
        </w:rPr>
        <w:t xml:space="preserve">  </w:t>
      </w:r>
      <w:r w:rsidRPr="004953F1">
        <w:rPr>
          <w:rFonts w:asciiTheme="minorHAnsi" w:hAnsiTheme="minorHAnsi" w:cstheme="minorHAnsi"/>
        </w:rPr>
        <w:t>ENG</w:t>
      </w:r>
      <w:r w:rsidRPr="004953F1">
        <w:rPr>
          <w:rFonts w:asciiTheme="minorHAnsi" w:hAnsiTheme="minorHAnsi" w:cstheme="minorHAnsi"/>
        </w:rPr>
        <w:tab/>
      </w:r>
      <w:r w:rsidRPr="004953F1">
        <w:rPr>
          <w:rFonts w:asciiTheme="minorHAnsi" w:hAnsiTheme="minorHAnsi" w:cstheme="minorHAnsi"/>
        </w:rPr>
        <w:tab/>
      </w:r>
      <w:r w:rsidRPr="004953F1">
        <w:rPr>
          <w:rFonts w:asciiTheme="minorHAnsi" w:hAnsiTheme="minorHAnsi" w:cstheme="minorHAnsi"/>
          <w:b/>
          <w:sz w:val="24"/>
          <w:szCs w:val="24"/>
        </w:rPr>
        <w:t>□</w:t>
      </w:r>
      <w:r w:rsidRPr="004953F1">
        <w:rPr>
          <w:rFonts w:asciiTheme="minorHAnsi" w:hAnsiTheme="minorHAnsi" w:cstheme="minorHAnsi"/>
          <w:sz w:val="24"/>
          <w:szCs w:val="24"/>
        </w:rPr>
        <w:t xml:space="preserve">  </w:t>
      </w:r>
      <w:r w:rsidRPr="004953F1">
        <w:rPr>
          <w:rFonts w:asciiTheme="minorHAnsi" w:hAnsiTheme="minorHAnsi" w:cstheme="minorHAnsi"/>
        </w:rPr>
        <w:t>PAP</w:t>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sdt>
        <w:sdtPr>
          <w:rPr>
            <w:rFonts w:asciiTheme="minorHAnsi" w:hAnsiTheme="minorHAnsi" w:cstheme="minorHAnsi"/>
            <w:b/>
          </w:rPr>
          <w:id w:val="147473201"/>
          <w14:checkbox>
            <w14:checked w14:val="1"/>
            <w14:checkedState w14:val="2612" w14:font="MS Gothic"/>
            <w14:uncheckedState w14:val="2610" w14:font="MS Gothic"/>
          </w14:checkbox>
        </w:sdtPr>
        <w:sdtEndPr/>
        <w:sdtContent>
          <w:r w:rsidRPr="004953F1">
            <w:rPr>
              <w:rFonts w:ascii="Segoe UI Symbol" w:eastAsia="MS Gothic" w:hAnsi="Segoe UI Symbol" w:cs="Segoe UI Symbol"/>
              <w:b/>
              <w:lang w:eastAsia="en-US"/>
            </w:rPr>
            <w:t>☒</w:t>
          </w:r>
        </w:sdtContent>
      </w:sdt>
      <w:r w:rsidRPr="004953F1">
        <w:rPr>
          <w:rFonts w:asciiTheme="minorHAnsi" w:hAnsiTheme="minorHAnsi" w:cstheme="minorHAnsi"/>
          <w:sz w:val="24"/>
          <w:szCs w:val="24"/>
        </w:rPr>
        <w:t xml:space="preserve">  Input</w:t>
      </w:r>
    </w:p>
    <w:p w14:paraId="70DE6EDD" w14:textId="77777777" w:rsidR="008119D7" w:rsidRPr="004953F1" w:rsidRDefault="00EF6EAC">
      <w:pPr>
        <w:pStyle w:val="BodyText"/>
        <w:tabs>
          <w:tab w:val="left" w:pos="1843"/>
        </w:tabs>
        <w:rPr>
          <w:rFonts w:asciiTheme="minorHAnsi" w:hAnsiTheme="minorHAnsi" w:cstheme="minorHAnsi"/>
        </w:rPr>
      </w:pPr>
      <w:r w:rsidRPr="004953F1">
        <w:rPr>
          <w:rFonts w:asciiTheme="minorHAnsi" w:hAnsiTheme="minorHAnsi" w:cstheme="minorHAnsi"/>
          <w:b/>
          <w:sz w:val="24"/>
          <w:szCs w:val="24"/>
        </w:rPr>
        <w:t>□</w:t>
      </w:r>
      <w:r w:rsidRPr="004953F1">
        <w:rPr>
          <w:rFonts w:asciiTheme="minorHAnsi" w:hAnsiTheme="minorHAnsi" w:cstheme="minorHAnsi"/>
          <w:sz w:val="24"/>
          <w:szCs w:val="24"/>
        </w:rPr>
        <w:t xml:space="preserve">  </w:t>
      </w:r>
      <w:r w:rsidRPr="004953F1">
        <w:rPr>
          <w:rFonts w:asciiTheme="minorHAnsi" w:hAnsiTheme="minorHAnsi" w:cstheme="minorHAnsi"/>
        </w:rPr>
        <w:t>ENAV</w:t>
      </w:r>
      <w:r w:rsidRPr="004953F1">
        <w:rPr>
          <w:rFonts w:asciiTheme="minorHAnsi" w:hAnsiTheme="minorHAnsi" w:cstheme="minorHAnsi"/>
          <w:b/>
          <w:sz w:val="24"/>
          <w:szCs w:val="24"/>
        </w:rPr>
        <w:tab/>
      </w:r>
      <w:sdt>
        <w:sdtPr>
          <w:rPr>
            <w:rFonts w:asciiTheme="minorHAnsi" w:hAnsiTheme="minorHAnsi" w:cstheme="minorHAnsi"/>
            <w:b/>
          </w:rPr>
          <w:id w:val="147451064"/>
          <w14:checkbox>
            <w14:checked w14:val="1"/>
            <w14:checkedState w14:val="2612" w14:font="MS Gothic"/>
            <w14:uncheckedState w14:val="2610" w14:font="MS Gothic"/>
          </w14:checkbox>
        </w:sdtPr>
        <w:sdtEndPr/>
        <w:sdtContent>
          <w:r w:rsidRPr="004953F1">
            <w:rPr>
              <w:rFonts w:ascii="Segoe UI Symbol" w:eastAsia="MS Gothic" w:hAnsi="Segoe UI Symbol" w:cs="Segoe UI Symbol"/>
              <w:b/>
              <w:lang w:eastAsia="en-US"/>
            </w:rPr>
            <w:t>☒</w:t>
          </w:r>
        </w:sdtContent>
      </w:sdt>
      <w:r w:rsidRPr="004953F1">
        <w:rPr>
          <w:rFonts w:asciiTheme="minorHAnsi" w:hAnsiTheme="minorHAnsi" w:cstheme="minorHAnsi"/>
          <w:sz w:val="24"/>
          <w:szCs w:val="24"/>
        </w:rPr>
        <w:t xml:space="preserve">  </w:t>
      </w:r>
      <w:r w:rsidRPr="004953F1">
        <w:rPr>
          <w:rFonts w:asciiTheme="minorHAnsi" w:hAnsiTheme="minorHAnsi" w:cstheme="minorHAnsi"/>
        </w:rPr>
        <w:t>VTS</w:t>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r w:rsidRPr="004953F1">
        <w:rPr>
          <w:rFonts w:asciiTheme="minorHAnsi" w:hAnsiTheme="minorHAnsi" w:cstheme="minorHAnsi"/>
          <w:sz w:val="24"/>
          <w:szCs w:val="24"/>
        </w:rPr>
        <w:tab/>
      </w:r>
      <w:sdt>
        <w:sdtPr>
          <w:rPr>
            <w:rFonts w:asciiTheme="minorHAnsi" w:hAnsiTheme="minorHAnsi" w:cstheme="minorHAnsi"/>
            <w:b/>
          </w:rPr>
          <w:id w:val="147463757"/>
          <w14:checkbox>
            <w14:checked w14:val="0"/>
            <w14:checkedState w14:val="2612" w14:font="MS Gothic"/>
            <w14:uncheckedState w14:val="2610" w14:font="MS Gothic"/>
          </w14:checkbox>
        </w:sdtPr>
        <w:sdtEndPr/>
        <w:sdtContent>
          <w:r w:rsidRPr="004953F1">
            <w:rPr>
              <w:rFonts w:ascii="Segoe UI Symbol" w:eastAsia="MS Gothic" w:hAnsi="Segoe UI Symbol" w:cs="Segoe UI Symbol"/>
              <w:b/>
              <w:lang w:eastAsia="en-US"/>
            </w:rPr>
            <w:t>☐</w:t>
          </w:r>
        </w:sdtContent>
      </w:sdt>
      <w:r w:rsidRPr="004953F1">
        <w:rPr>
          <w:rFonts w:asciiTheme="minorHAnsi" w:hAnsiTheme="minorHAnsi" w:cstheme="minorHAnsi"/>
          <w:sz w:val="24"/>
          <w:szCs w:val="24"/>
        </w:rPr>
        <w:t>Information</w:t>
      </w:r>
    </w:p>
    <w:p w14:paraId="70DE6EDE" w14:textId="77777777" w:rsidR="008119D7" w:rsidRPr="004953F1" w:rsidRDefault="008119D7">
      <w:pPr>
        <w:pStyle w:val="BodyText"/>
        <w:tabs>
          <w:tab w:val="left" w:pos="2835"/>
        </w:tabs>
        <w:rPr>
          <w:rFonts w:asciiTheme="minorHAnsi" w:hAnsiTheme="minorHAnsi" w:cstheme="minorHAnsi"/>
        </w:rPr>
      </w:pPr>
    </w:p>
    <w:p w14:paraId="70DE6EDF" w14:textId="23591992" w:rsidR="008119D7" w:rsidRPr="004953F1" w:rsidRDefault="00EF6EAC">
      <w:pPr>
        <w:pStyle w:val="BodyText"/>
        <w:tabs>
          <w:tab w:val="left" w:pos="2835"/>
        </w:tabs>
        <w:rPr>
          <w:rFonts w:asciiTheme="minorHAnsi" w:hAnsiTheme="minorHAnsi" w:cstheme="minorHAnsi"/>
        </w:rPr>
      </w:pPr>
      <w:r w:rsidRPr="004953F1">
        <w:rPr>
          <w:rFonts w:asciiTheme="minorHAnsi" w:hAnsiTheme="minorHAnsi" w:cstheme="minorHAnsi"/>
        </w:rPr>
        <w:t xml:space="preserve">Agenda item </w:t>
      </w:r>
      <w:r w:rsidRPr="004953F1">
        <w:rPr>
          <w:rStyle w:val="FootnoteReference"/>
          <w:rFonts w:asciiTheme="minorHAnsi" w:hAnsiTheme="minorHAnsi" w:cstheme="minorHAnsi"/>
          <w:sz w:val="22"/>
          <w:vertAlign w:val="superscript"/>
        </w:rPr>
        <w:footnoteReference w:id="2"/>
      </w:r>
      <w:r w:rsidRPr="004953F1">
        <w:rPr>
          <w:rFonts w:asciiTheme="minorHAnsi" w:hAnsiTheme="minorHAnsi" w:cstheme="minorHAnsi"/>
        </w:rPr>
        <w:tab/>
      </w:r>
      <w:r w:rsidRPr="004953F1">
        <w:rPr>
          <w:rFonts w:asciiTheme="minorHAnsi" w:hAnsiTheme="minorHAnsi" w:cstheme="minorHAnsi"/>
        </w:rPr>
        <w:tab/>
      </w:r>
      <w:r w:rsidRPr="004953F1">
        <w:rPr>
          <w:rFonts w:asciiTheme="minorHAnsi" w:hAnsiTheme="minorHAnsi" w:cstheme="minorHAnsi"/>
        </w:rPr>
        <w:tab/>
      </w:r>
      <w:r w:rsidR="00A43168" w:rsidRPr="004953F1">
        <w:rPr>
          <w:rFonts w:asciiTheme="minorHAnsi" w:hAnsiTheme="minorHAnsi" w:cstheme="minorHAnsi"/>
        </w:rPr>
        <w:t>7.2.7</w:t>
      </w:r>
    </w:p>
    <w:p w14:paraId="70DE6EE0" w14:textId="6214300E" w:rsidR="008119D7" w:rsidRPr="004953F1" w:rsidRDefault="00EF6EAC">
      <w:pPr>
        <w:pStyle w:val="BodyText"/>
        <w:tabs>
          <w:tab w:val="left" w:pos="2835"/>
        </w:tabs>
        <w:rPr>
          <w:rFonts w:asciiTheme="minorHAnsi" w:hAnsiTheme="minorHAnsi" w:cstheme="minorHAnsi"/>
        </w:rPr>
      </w:pPr>
      <w:r w:rsidRPr="004953F1">
        <w:rPr>
          <w:rFonts w:asciiTheme="minorHAnsi" w:hAnsiTheme="minorHAnsi" w:cstheme="minorHAnsi"/>
        </w:rPr>
        <w:t xml:space="preserve">Technical Domain / Task Number </w:t>
      </w:r>
      <w:r w:rsidRPr="004953F1">
        <w:rPr>
          <w:rFonts w:asciiTheme="minorHAnsi" w:hAnsiTheme="minorHAnsi" w:cstheme="minorHAnsi"/>
          <w:vertAlign w:val="superscript"/>
        </w:rPr>
        <w:t>2</w:t>
      </w:r>
      <w:r w:rsidRPr="004953F1">
        <w:rPr>
          <w:rFonts w:asciiTheme="minorHAnsi" w:hAnsiTheme="minorHAnsi" w:cstheme="minorHAnsi"/>
        </w:rPr>
        <w:tab/>
      </w:r>
      <w:r w:rsidR="00724BD7" w:rsidRPr="004953F1">
        <w:rPr>
          <w:rFonts w:asciiTheme="minorHAnsi" w:hAnsiTheme="minorHAnsi" w:cstheme="minorHAnsi"/>
        </w:rPr>
        <w:t>N/A</w:t>
      </w:r>
    </w:p>
    <w:p w14:paraId="70DE6EE1" w14:textId="07FA811A" w:rsidR="008119D7" w:rsidRPr="004953F1" w:rsidRDefault="00EF6EAC">
      <w:pPr>
        <w:pStyle w:val="BodyText"/>
        <w:tabs>
          <w:tab w:val="left" w:pos="2835"/>
        </w:tabs>
        <w:rPr>
          <w:rFonts w:asciiTheme="minorHAnsi" w:hAnsiTheme="minorHAnsi" w:cstheme="minorHAnsi"/>
          <w:color w:val="FF0000"/>
        </w:rPr>
      </w:pPr>
      <w:r w:rsidRPr="004953F1">
        <w:rPr>
          <w:rFonts w:asciiTheme="minorHAnsi" w:hAnsiTheme="minorHAnsi" w:cstheme="minorHAnsi"/>
        </w:rPr>
        <w:t>Author(s) / Submitter(s)</w:t>
      </w:r>
      <w:r w:rsidRPr="004953F1">
        <w:rPr>
          <w:rFonts w:asciiTheme="minorHAnsi" w:hAnsiTheme="minorHAnsi" w:cstheme="minorHAnsi"/>
        </w:rPr>
        <w:tab/>
      </w:r>
      <w:r w:rsidRPr="004953F1">
        <w:rPr>
          <w:rFonts w:asciiTheme="minorHAnsi" w:hAnsiTheme="minorHAnsi" w:cstheme="minorHAnsi"/>
        </w:rPr>
        <w:tab/>
      </w:r>
      <w:r w:rsidR="00724BD7" w:rsidRPr="004953F1">
        <w:rPr>
          <w:rFonts w:asciiTheme="minorHAnsi" w:hAnsiTheme="minorHAnsi" w:cstheme="minorHAnsi"/>
        </w:rPr>
        <w:tab/>
      </w:r>
      <w:r w:rsidRPr="004953F1">
        <w:rPr>
          <w:rFonts w:asciiTheme="minorHAnsi" w:eastAsia="SimSun" w:hAnsiTheme="minorHAnsi" w:cstheme="minorHAnsi"/>
          <w:lang w:val="en-US" w:eastAsia="zh-CN"/>
        </w:rPr>
        <w:t>China MSA</w:t>
      </w:r>
    </w:p>
    <w:p w14:paraId="70DE6EE2" w14:textId="77777777" w:rsidR="008119D7" w:rsidRPr="004953F1" w:rsidRDefault="008119D7">
      <w:pPr>
        <w:pStyle w:val="BodyText"/>
        <w:tabs>
          <w:tab w:val="left" w:pos="2835"/>
        </w:tabs>
        <w:rPr>
          <w:rFonts w:asciiTheme="minorHAnsi" w:hAnsiTheme="minorHAnsi" w:cstheme="minorHAnsi"/>
        </w:rPr>
      </w:pPr>
    </w:p>
    <w:p w14:paraId="70DE6EE3" w14:textId="77777777" w:rsidR="008119D7" w:rsidRPr="004953F1" w:rsidRDefault="00EF6EAC">
      <w:pPr>
        <w:pStyle w:val="Title"/>
        <w:rPr>
          <w:rFonts w:asciiTheme="minorHAnsi" w:hAnsiTheme="minorHAnsi" w:cstheme="minorHAnsi"/>
          <w:color w:val="0070C0"/>
        </w:rPr>
      </w:pPr>
      <w:r w:rsidRPr="004953F1">
        <w:rPr>
          <w:rFonts w:asciiTheme="minorHAnsi" w:hAnsiTheme="minorHAnsi" w:cstheme="minorHAnsi"/>
          <w:color w:val="0070C0"/>
        </w:rPr>
        <w:t xml:space="preserve">Report of near misses and accidents related to </w:t>
      </w:r>
    </w:p>
    <w:p w14:paraId="70DE6EE4" w14:textId="77777777" w:rsidR="008119D7" w:rsidRPr="004953F1" w:rsidRDefault="00EF6EAC">
      <w:pPr>
        <w:pStyle w:val="Title"/>
        <w:rPr>
          <w:rFonts w:asciiTheme="minorHAnsi" w:hAnsiTheme="minorHAnsi" w:cstheme="minorHAnsi"/>
          <w:color w:val="0070C0"/>
        </w:rPr>
      </w:pPr>
      <w:r w:rsidRPr="004953F1">
        <w:rPr>
          <w:rFonts w:asciiTheme="minorHAnsi" w:hAnsiTheme="minorHAnsi" w:cstheme="minorHAnsi"/>
          <w:color w:val="0070C0"/>
        </w:rPr>
        <w:t>machinery failure of vessels in VTS area</w:t>
      </w:r>
    </w:p>
    <w:p w14:paraId="70DE6EE5" w14:textId="77777777" w:rsidR="008119D7" w:rsidRPr="004953F1" w:rsidRDefault="00EF6EAC">
      <w:pPr>
        <w:pStyle w:val="Heading1"/>
        <w:tabs>
          <w:tab w:val="clear" w:pos="567"/>
        </w:tabs>
        <w:rPr>
          <w:rFonts w:asciiTheme="minorHAnsi" w:eastAsia="SimSun" w:hAnsiTheme="minorHAnsi" w:cstheme="minorHAnsi"/>
          <w:lang w:val="en-US" w:eastAsia="zh-CN"/>
        </w:rPr>
      </w:pPr>
      <w:r w:rsidRPr="004953F1">
        <w:rPr>
          <w:rFonts w:asciiTheme="minorHAnsi" w:eastAsia="SimSun" w:hAnsiTheme="minorHAnsi" w:cstheme="minorHAnsi"/>
          <w:lang w:val="en-US" w:eastAsia="zh-CN"/>
        </w:rPr>
        <w:t>SUMMARY</w:t>
      </w:r>
    </w:p>
    <w:p w14:paraId="70DE6EE6" w14:textId="77777777" w:rsidR="008119D7" w:rsidRPr="004953F1" w:rsidRDefault="00EF6EAC">
      <w:pPr>
        <w:pStyle w:val="BodyText"/>
        <w:spacing w:beforeLines="100" w:before="240" w:afterLines="100" w:after="240"/>
        <w:rPr>
          <w:rFonts w:asciiTheme="minorHAnsi" w:eastAsia="SimSun" w:hAnsiTheme="minorHAnsi" w:cstheme="minorHAnsi"/>
          <w:lang w:val="en-US" w:eastAsia="zh-CN"/>
        </w:rPr>
      </w:pPr>
      <w:r w:rsidRPr="004953F1">
        <w:rPr>
          <w:rFonts w:asciiTheme="minorHAnsi" w:eastAsia="SimSun" w:hAnsiTheme="minorHAnsi" w:cstheme="minorHAnsi"/>
          <w:lang w:val="en-US" w:eastAsia="zh-CN"/>
        </w:rPr>
        <w:t xml:space="preserve">In response to the document VTS57-7.2.4.1 </w:t>
      </w:r>
      <w:r w:rsidRPr="004953F1">
        <w:rPr>
          <w:rFonts w:asciiTheme="minorHAnsi" w:hAnsiTheme="minorHAnsi" w:cstheme="minorHAnsi"/>
          <w:i/>
          <w:iCs/>
          <w:color w:val="000000" w:themeColor="text1"/>
          <w:lang w:val="en-US" w:eastAsia="zh-CN"/>
        </w:rPr>
        <w:t>Essential Practices for Data and Management in Developing Automated Near-Miss Incident Identification</w:t>
      </w:r>
      <w:r w:rsidRPr="004953F1">
        <w:rPr>
          <w:rFonts w:asciiTheme="minorHAnsi" w:eastAsia="SimSun" w:hAnsiTheme="minorHAnsi" w:cstheme="minorHAnsi"/>
          <w:lang w:val="en-US" w:eastAsia="zh-CN"/>
        </w:rPr>
        <w:t xml:space="preserve"> submitted by Singapore at the VTS Committee 57</w:t>
      </w:r>
      <w:r w:rsidRPr="004953F1">
        <w:rPr>
          <w:rFonts w:asciiTheme="minorHAnsi" w:eastAsia="SimSun" w:hAnsiTheme="minorHAnsi" w:cstheme="minorHAnsi"/>
          <w:vertAlign w:val="superscript"/>
          <w:lang w:val="en-US" w:eastAsia="zh-CN"/>
        </w:rPr>
        <w:t>th</w:t>
      </w:r>
      <w:r w:rsidRPr="004953F1">
        <w:rPr>
          <w:rFonts w:asciiTheme="minorHAnsi" w:eastAsia="SimSun" w:hAnsiTheme="minorHAnsi" w:cstheme="minorHAnsi"/>
          <w:lang w:val="en-US" w:eastAsia="zh-CN"/>
        </w:rPr>
        <w:t xml:space="preserve"> meeting and referencing the definition of "near miss" in the </w:t>
      </w:r>
      <w:r w:rsidRPr="004953F1">
        <w:rPr>
          <w:rFonts w:asciiTheme="minorHAnsi" w:hAnsiTheme="minorHAnsi" w:cstheme="minorHAnsi"/>
          <w:i/>
          <w:iCs/>
          <w:lang w:val="en-US" w:eastAsia="zh-CN"/>
        </w:rPr>
        <w:t>MSC-MEPC.7/Circ.7 ANNEX- Guidance on Near-Miss Reporting</w:t>
      </w:r>
      <w:r w:rsidRPr="004953F1">
        <w:rPr>
          <w:rFonts w:asciiTheme="minorHAnsi" w:eastAsia="SimSun" w:hAnsiTheme="minorHAnsi" w:cstheme="minorHAnsi"/>
          <w:lang w:val="en-US" w:eastAsia="zh-CN"/>
        </w:rPr>
        <w:t>, the China Maritime Safety Administration provides relevant information on machinery failures of vessels occurring in VTS areas over the past three years, aiming to draw the VTS Committee's attention to machinery failures of vessels in VTS waters.</w:t>
      </w:r>
    </w:p>
    <w:p w14:paraId="70DE6EE7" w14:textId="77777777" w:rsidR="008119D7" w:rsidRPr="004953F1" w:rsidRDefault="00EF6EAC">
      <w:pPr>
        <w:pStyle w:val="Heading2"/>
        <w:numPr>
          <w:ilvl w:val="1"/>
          <w:numId w:val="0"/>
        </w:numPr>
        <w:spacing w:beforeLines="100" w:before="240" w:afterLines="100" w:after="240"/>
        <w:rPr>
          <w:rFonts w:asciiTheme="minorHAnsi" w:eastAsia="SimSun" w:hAnsiTheme="minorHAnsi" w:cstheme="minorHAnsi"/>
          <w:b/>
          <w:lang w:val="en-US" w:eastAsia="zh-CN"/>
        </w:rPr>
      </w:pPr>
      <w:r w:rsidRPr="004953F1">
        <w:rPr>
          <w:rFonts w:asciiTheme="minorHAnsi" w:eastAsia="SimSun" w:hAnsiTheme="minorHAnsi" w:cstheme="minorHAnsi"/>
          <w:b/>
          <w:lang w:val="en-US" w:eastAsia="zh-CN"/>
        </w:rPr>
        <w:t xml:space="preserve">2       </w:t>
      </w:r>
      <w:r w:rsidRPr="004953F1">
        <w:rPr>
          <w:rFonts w:asciiTheme="minorHAnsi" w:eastAsia="SimSun" w:hAnsiTheme="minorHAnsi" w:cstheme="minorHAnsi"/>
          <w:b/>
          <w:caps/>
          <w:kern w:val="28"/>
          <w:szCs w:val="22"/>
          <w:lang w:val="en-US" w:eastAsia="zh-CN"/>
        </w:rPr>
        <w:t xml:space="preserve"> Relevant documents</w:t>
      </w:r>
    </w:p>
    <w:p w14:paraId="70DE6EE9" w14:textId="5CB467C8" w:rsidR="008119D7" w:rsidRPr="00787AB6" w:rsidRDefault="00EF6EAC" w:rsidP="00787AB6">
      <w:pPr>
        <w:pStyle w:val="Title"/>
        <w:spacing w:beforeLines="100" w:before="240" w:afterLines="100"/>
        <w:jc w:val="left"/>
        <w:rPr>
          <w:rFonts w:asciiTheme="minorHAnsi" w:hAnsiTheme="minorHAnsi" w:cstheme="minorHAnsi"/>
          <w:b w:val="0"/>
          <w:bCs w:val="0"/>
          <w:i/>
          <w:iCs/>
          <w:color w:val="000000" w:themeColor="text1"/>
          <w:kern w:val="0"/>
          <w:sz w:val="22"/>
          <w:szCs w:val="22"/>
          <w:lang w:val="en-US" w:eastAsia="zh-CN"/>
        </w:rPr>
      </w:pPr>
      <w:r w:rsidRPr="004953F1">
        <w:rPr>
          <w:rStyle w:val="Heading1separationlineChar"/>
          <w:rFonts w:asciiTheme="minorHAnsi" w:hAnsiTheme="minorHAnsi" w:cstheme="minorHAnsi"/>
          <w:b w:val="0"/>
          <w:bCs w:val="0"/>
          <w:lang w:val="en-US" w:eastAsia="zh-CN"/>
        </w:rPr>
        <w:t xml:space="preserve">(1) </w:t>
      </w:r>
      <w:r w:rsidRPr="004953F1">
        <w:rPr>
          <w:rFonts w:asciiTheme="minorHAnsi" w:eastAsia="SimSun" w:hAnsiTheme="minorHAnsi" w:cstheme="minorHAnsi"/>
          <w:b w:val="0"/>
          <w:kern w:val="0"/>
          <w:sz w:val="22"/>
          <w:szCs w:val="22"/>
          <w:lang w:val="en-US" w:eastAsia="zh-CN"/>
        </w:rPr>
        <w:t xml:space="preserve">IALA WP VTS57-7.2.4.1 </w:t>
      </w:r>
      <w:bookmarkStart w:id="0" w:name="OLE_LINK1"/>
      <w:r w:rsidRPr="004953F1">
        <w:rPr>
          <w:rFonts w:asciiTheme="minorHAnsi" w:hAnsiTheme="minorHAnsi" w:cstheme="minorHAnsi"/>
          <w:b w:val="0"/>
          <w:bCs w:val="0"/>
          <w:i/>
          <w:iCs/>
          <w:color w:val="000000" w:themeColor="text1"/>
          <w:kern w:val="0"/>
          <w:sz w:val="22"/>
          <w:szCs w:val="22"/>
          <w:lang w:val="en-US" w:eastAsia="zh-CN"/>
        </w:rPr>
        <w:t xml:space="preserve">Essential Practices for Data and Management in Developing </w:t>
      </w:r>
      <w:r w:rsidRPr="004953F1">
        <w:rPr>
          <w:rFonts w:asciiTheme="minorHAnsi" w:hAnsiTheme="minorHAnsi" w:cstheme="minorHAnsi"/>
          <w:b w:val="0"/>
          <w:bCs w:val="0"/>
          <w:i/>
          <w:iCs/>
          <w:color w:val="000000" w:themeColor="text1"/>
          <w:kern w:val="0"/>
          <w:sz w:val="22"/>
          <w:szCs w:val="22"/>
          <w:lang w:val="en-US" w:eastAsia="zh-CN"/>
        </w:rPr>
        <w:t>Automated Near-Miss Incident Identification</w:t>
      </w:r>
      <w:bookmarkEnd w:id="0"/>
    </w:p>
    <w:p w14:paraId="70DE6EEA" w14:textId="77777777" w:rsidR="008119D7" w:rsidRPr="004953F1" w:rsidRDefault="00EF6EAC">
      <w:pPr>
        <w:pStyle w:val="Title"/>
        <w:jc w:val="both"/>
        <w:rPr>
          <w:rStyle w:val="Heading1separationlineChar"/>
          <w:rFonts w:asciiTheme="minorHAnsi" w:eastAsia="SimSun" w:hAnsiTheme="minorHAnsi" w:cstheme="minorHAnsi"/>
          <w:b w:val="0"/>
          <w:bCs w:val="0"/>
        </w:rPr>
      </w:pPr>
      <w:r w:rsidRPr="004953F1">
        <w:rPr>
          <w:rStyle w:val="Heading1separationlineChar"/>
          <w:rFonts w:asciiTheme="minorHAnsi" w:eastAsia="SimSun" w:hAnsiTheme="minorHAnsi" w:cstheme="minorHAnsi"/>
          <w:b w:val="0"/>
          <w:bCs w:val="0"/>
        </w:rPr>
        <w:t xml:space="preserve">(2) </w:t>
      </w:r>
      <w:r w:rsidRPr="004953F1">
        <w:rPr>
          <w:rStyle w:val="Heading1separationlineChar"/>
          <w:rFonts w:asciiTheme="minorHAnsi" w:eastAsia="SimSun" w:hAnsiTheme="minorHAnsi" w:cstheme="minorHAnsi"/>
          <w:b w:val="0"/>
          <w:bCs w:val="0"/>
        </w:rPr>
        <w:t>MSC-MEPC.7/Circ.7 Guidance on Near-Miss Reporting</w:t>
      </w:r>
    </w:p>
    <w:p w14:paraId="70DE6EEC" w14:textId="704AD11E" w:rsidR="008119D7" w:rsidRPr="004953F1" w:rsidRDefault="00EF6EAC">
      <w:pPr>
        <w:pStyle w:val="Title"/>
        <w:jc w:val="left"/>
        <w:rPr>
          <w:rStyle w:val="Heading1separationlineChar"/>
          <w:rFonts w:asciiTheme="minorHAnsi" w:eastAsia="SimSun" w:hAnsiTheme="minorHAnsi" w:cstheme="minorHAnsi"/>
          <w:b w:val="0"/>
          <w:bCs w:val="0"/>
          <w:lang w:val="en-US" w:eastAsia="zh-CN"/>
        </w:rPr>
      </w:pPr>
      <w:r w:rsidRPr="004953F1">
        <w:rPr>
          <w:rStyle w:val="Heading1separationlineChar"/>
          <w:rFonts w:asciiTheme="minorHAnsi" w:eastAsia="SimSun" w:hAnsiTheme="minorHAnsi" w:cstheme="minorHAnsi"/>
          <w:b w:val="0"/>
          <w:bCs w:val="0"/>
          <w:lang w:val="en-US" w:eastAsia="zh-CN"/>
        </w:rPr>
        <w:t xml:space="preserve">(3) IALA G1118-Marine Casualty/ Incident Reporting and Recording, Including Near-miss Situation </w:t>
      </w:r>
      <w:r w:rsidRPr="004953F1">
        <w:rPr>
          <w:rStyle w:val="Heading1separationlineChar"/>
          <w:rFonts w:asciiTheme="minorHAnsi" w:eastAsia="SimSun" w:hAnsiTheme="minorHAnsi" w:cstheme="minorHAnsi"/>
          <w:b w:val="0"/>
          <w:bCs w:val="0"/>
          <w:lang w:val="en-US" w:eastAsia="zh-CN"/>
        </w:rPr>
        <w:t>as it Relates to a VTS</w:t>
      </w:r>
    </w:p>
    <w:p w14:paraId="70DE6EED" w14:textId="77777777" w:rsidR="008119D7" w:rsidRPr="004953F1" w:rsidRDefault="00EF6EAC">
      <w:pPr>
        <w:pStyle w:val="Heading1"/>
        <w:numPr>
          <w:ilvl w:val="0"/>
          <w:numId w:val="0"/>
        </w:numPr>
        <w:rPr>
          <w:rFonts w:asciiTheme="minorHAnsi" w:hAnsiTheme="minorHAnsi" w:cstheme="minorHAnsi"/>
          <w:lang w:val="en-US"/>
        </w:rPr>
      </w:pPr>
      <w:r w:rsidRPr="004953F1">
        <w:rPr>
          <w:rFonts w:asciiTheme="minorHAnsi" w:eastAsia="SimSun" w:hAnsiTheme="minorHAnsi" w:cstheme="minorHAnsi"/>
          <w:lang w:val="en-US" w:eastAsia="zh-CN"/>
        </w:rPr>
        <w:t>3       Background</w:t>
      </w:r>
    </w:p>
    <w:p w14:paraId="70DE6EEE" w14:textId="77777777" w:rsidR="008119D7" w:rsidRPr="004953F1" w:rsidRDefault="00EF6EAC">
      <w:pPr>
        <w:pStyle w:val="BodyText"/>
        <w:rPr>
          <w:rFonts w:asciiTheme="minorHAnsi" w:eastAsia="SimSun" w:hAnsiTheme="minorHAnsi" w:cstheme="minorHAnsi"/>
          <w:lang w:val="en-US" w:eastAsia="zh-CN"/>
        </w:rPr>
      </w:pPr>
      <w:r w:rsidRPr="004953F1">
        <w:rPr>
          <w:rFonts w:asciiTheme="minorHAnsi" w:eastAsia="SimSun" w:hAnsiTheme="minorHAnsi" w:cstheme="minorHAnsi"/>
          <w:lang w:val="en-US" w:eastAsia="zh-CN"/>
        </w:rPr>
        <w:t xml:space="preserve">Reviewing and analysis of historical data from China maritime authorities and the official website of the Marine Accident Investigation Branch(MAIB) in UK indicates an increasing prevalence of machinery failures of ships within port waters. Due to dense traffic in port areas, improper handling by crew members can easily lead to near misses or even accidents. The direct impact is reduced navigation efficiency in VTS waters, posing threats to vessel safety, Aids to navigation, and the marine environment. The </w:t>
      </w:r>
      <w:r w:rsidRPr="004953F1">
        <w:rPr>
          <w:rFonts w:asciiTheme="minorHAnsi" w:eastAsia="SimSun" w:hAnsiTheme="minorHAnsi" w:cstheme="minorHAnsi"/>
          <w:lang w:val="en-US" w:eastAsia="zh-CN"/>
        </w:rPr>
        <w:t>indirect impact is the heightened demand for VTS providers' emergency response capabilities, increasing the workload of VTS operators in port traffic management.</w:t>
      </w:r>
    </w:p>
    <w:p w14:paraId="70DE6EEF" w14:textId="77777777" w:rsidR="008119D7" w:rsidRPr="004953F1" w:rsidRDefault="00EF6EAC">
      <w:pPr>
        <w:pStyle w:val="Heading1"/>
        <w:numPr>
          <w:ilvl w:val="0"/>
          <w:numId w:val="0"/>
        </w:numPr>
        <w:rPr>
          <w:rFonts w:asciiTheme="minorHAnsi" w:hAnsiTheme="minorHAnsi" w:cstheme="minorHAnsi"/>
          <w:lang w:val="en-US"/>
        </w:rPr>
      </w:pPr>
      <w:r w:rsidRPr="004953F1">
        <w:rPr>
          <w:rFonts w:asciiTheme="minorHAnsi" w:eastAsia="SimSun" w:hAnsiTheme="minorHAnsi" w:cstheme="minorHAnsi"/>
          <w:lang w:val="en-US" w:eastAsia="zh-CN"/>
        </w:rPr>
        <w:lastRenderedPageBreak/>
        <w:t>4      Data Statistics</w:t>
      </w:r>
    </w:p>
    <w:p w14:paraId="70DE6EF0" w14:textId="77777777" w:rsidR="008119D7" w:rsidRPr="004953F1" w:rsidRDefault="00EF6EAC">
      <w:pPr>
        <w:widowControl w:val="0"/>
        <w:adjustRightInd w:val="0"/>
        <w:snapToGrid w:val="0"/>
        <w:ind w:firstLineChars="200" w:firstLine="440"/>
        <w:jc w:val="both"/>
        <w:rPr>
          <w:rFonts w:asciiTheme="minorHAnsi" w:eastAsia="SimSun" w:hAnsiTheme="minorHAnsi" w:cstheme="minorHAnsi"/>
          <w:sz w:val="24"/>
          <w:szCs w:val="24"/>
          <w:lang w:val="en-US" w:eastAsia="zh-CN"/>
        </w:rPr>
      </w:pPr>
      <w:r w:rsidRPr="004953F1">
        <w:rPr>
          <w:rFonts w:asciiTheme="minorHAnsi" w:eastAsia="SimSun" w:hAnsiTheme="minorHAnsi" w:cstheme="minorHAnsi"/>
          <w:lang w:val="en-US" w:eastAsia="zh-CN"/>
        </w:rPr>
        <w:t>●</w:t>
      </w:r>
      <w:r w:rsidRPr="004953F1">
        <w:rPr>
          <w:rFonts w:asciiTheme="minorHAnsi" w:eastAsia="SimSun" w:hAnsiTheme="minorHAnsi" w:cstheme="minorHAnsi"/>
          <w:lang w:val="en-US" w:eastAsia="zh-CN"/>
        </w:rPr>
        <w:t>According to the maritime investigation report data received by MAIB (refer to Fig.1)</w:t>
      </w:r>
      <w:r w:rsidRPr="004953F1">
        <w:rPr>
          <w:rFonts w:asciiTheme="minorHAnsi" w:eastAsia="SimSun" w:hAnsiTheme="minorHAnsi" w:cstheme="minorHAnsi"/>
          <w:lang w:val="en-US" w:eastAsia="zh-CN"/>
        </w:rPr>
        <w:t>,</w:t>
      </w:r>
      <w:r w:rsidRPr="004953F1">
        <w:rPr>
          <w:rFonts w:asciiTheme="minorHAnsi" w:eastAsia="SimSun" w:hAnsiTheme="minorHAnsi" w:cstheme="minorHAnsi"/>
          <w:lang w:val="en-US" w:eastAsia="zh-CN"/>
        </w:rPr>
        <w:t xml:space="preserve"> there were 190 equipment loss incidents and 33 incidents of ship loss during the arrival, departure, and transition of merchant ships with a gross tonnage of over 100 tons in 2022. The annual data were 334 cases (equipment loss) and 48 cases (ship out of control) in 2023. And there were 373 cases (equipment loss) and 43 cases of ship out of control in 2024.</w:t>
      </w:r>
    </w:p>
    <w:p w14:paraId="70DE6EF1" w14:textId="77777777" w:rsidR="008119D7" w:rsidRPr="004953F1" w:rsidRDefault="008119D7">
      <w:pPr>
        <w:widowControl w:val="0"/>
        <w:adjustRightInd w:val="0"/>
        <w:snapToGrid w:val="0"/>
        <w:ind w:firstLineChars="200" w:firstLine="440"/>
        <w:jc w:val="both"/>
        <w:rPr>
          <w:rFonts w:asciiTheme="minorHAnsi" w:eastAsia="SimSun" w:hAnsiTheme="minorHAnsi" w:cstheme="minorHAnsi"/>
          <w:lang w:val="en-US" w:eastAsia="zh-CN"/>
        </w:rPr>
      </w:pPr>
    </w:p>
    <w:p w14:paraId="70DE6EF2" w14:textId="77777777" w:rsidR="008119D7" w:rsidRPr="004953F1" w:rsidRDefault="00EF6EAC">
      <w:pPr>
        <w:widowControl w:val="0"/>
        <w:adjustRightInd w:val="0"/>
        <w:snapToGrid w:val="0"/>
        <w:jc w:val="center"/>
        <w:rPr>
          <w:rFonts w:asciiTheme="minorHAnsi" w:hAnsiTheme="minorHAnsi" w:cstheme="minorHAnsi"/>
        </w:rPr>
      </w:pPr>
      <w:r w:rsidRPr="004953F1">
        <w:rPr>
          <w:rFonts w:asciiTheme="minorHAnsi" w:hAnsiTheme="minorHAnsi" w:cstheme="minorHAnsi"/>
          <w:noProof/>
        </w:rPr>
        <w:drawing>
          <wp:inline distT="0" distB="0" distL="114300" distR="114300" wp14:anchorId="70DE6F0E" wp14:editId="70DE6F0F">
            <wp:extent cx="4100830" cy="2235200"/>
            <wp:effectExtent l="0" t="0" r="13970" b="12700"/>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4100830" cy="2235200"/>
                    </a:xfrm>
                    <a:prstGeom prst="rect">
                      <a:avLst/>
                    </a:prstGeom>
                  </pic:spPr>
                </pic:pic>
              </a:graphicData>
            </a:graphic>
          </wp:inline>
        </w:drawing>
      </w:r>
    </w:p>
    <w:p w14:paraId="70DE6EF3" w14:textId="77777777" w:rsidR="008119D7" w:rsidRPr="004953F1" w:rsidRDefault="00EF6EAC">
      <w:pPr>
        <w:widowControl w:val="0"/>
        <w:adjustRightInd w:val="0"/>
        <w:snapToGrid w:val="0"/>
        <w:ind w:firstLineChars="800" w:firstLine="1760"/>
        <w:jc w:val="both"/>
        <w:rPr>
          <w:rFonts w:asciiTheme="minorHAnsi" w:hAnsiTheme="minorHAnsi" w:cstheme="minorHAnsi"/>
          <w:lang w:val="en-US" w:eastAsia="zh-CN"/>
        </w:rPr>
      </w:pPr>
      <w:r w:rsidRPr="004953F1">
        <w:rPr>
          <w:rFonts w:asciiTheme="minorHAnsi" w:eastAsia="SimSun" w:hAnsiTheme="minorHAnsi" w:cstheme="minorHAnsi"/>
          <w:lang w:val="en-US" w:eastAsia="zh-CN"/>
        </w:rPr>
        <w:t>Fig.1 Ship equipment failure and loss of control</w:t>
      </w:r>
      <w:r w:rsidRPr="004953F1">
        <w:rPr>
          <w:rStyle w:val="FootnoteReference"/>
          <w:rFonts w:asciiTheme="minorHAnsi" w:eastAsia="SimSun" w:hAnsiTheme="minorHAnsi" w:cstheme="minorHAnsi"/>
          <w:sz w:val="22"/>
          <w:vertAlign w:val="superscript"/>
          <w:lang w:val="en-US" w:eastAsia="zh-CN" w:bidi="ar"/>
        </w:rPr>
        <w:footnoteReference w:id="3"/>
      </w:r>
    </w:p>
    <w:p w14:paraId="70DE6EF4" w14:textId="77777777" w:rsidR="008119D7" w:rsidRPr="004953F1" w:rsidRDefault="00EF6EAC">
      <w:pPr>
        <w:widowControl w:val="0"/>
        <w:adjustRightInd w:val="0"/>
        <w:snapToGrid w:val="0"/>
        <w:spacing w:beforeLines="100" w:before="240" w:afterLines="100" w:after="240"/>
        <w:ind w:firstLineChars="200" w:firstLine="440"/>
        <w:jc w:val="both"/>
        <w:rPr>
          <w:rFonts w:asciiTheme="minorHAnsi" w:eastAsia="SimSun" w:hAnsiTheme="minorHAnsi" w:cstheme="minorHAnsi"/>
          <w:lang w:val="en-US" w:eastAsia="zh-CN" w:bidi="ar"/>
        </w:rPr>
      </w:pPr>
      <w:r w:rsidRPr="004953F1">
        <w:rPr>
          <w:rFonts w:asciiTheme="minorHAnsi" w:eastAsia="SimSun" w:hAnsiTheme="minorHAnsi" w:cstheme="minorHAnsi"/>
          <w:lang w:val="en-US" w:eastAsia="zh-CN"/>
        </w:rPr>
        <w:t>● As the largest comprehensive port in northern China in terms of cargo throughput, Tianjin Port mainly berths container ships and bulk carriers.</w:t>
      </w:r>
      <w:r w:rsidRPr="004953F1">
        <w:rPr>
          <w:rFonts w:asciiTheme="minorHAnsi" w:eastAsia="SimSun" w:hAnsiTheme="minorHAnsi" w:cstheme="minorHAnsi"/>
          <w:lang w:val="en-US" w:eastAsia="zh-CN"/>
        </w:rPr>
        <w:t xml:space="preserve"> </w:t>
      </w:r>
      <w:r w:rsidRPr="004953F1">
        <w:rPr>
          <w:rFonts w:asciiTheme="minorHAnsi" w:eastAsia="SimSun" w:hAnsiTheme="minorHAnsi" w:cstheme="minorHAnsi"/>
          <w:lang w:val="en-US" w:eastAsia="zh-CN"/>
        </w:rPr>
        <w:t>In 2022, there were 73,000 ships entering and leaving Tianjin Port, and 29 ship failures occurred in the port area, with a failure rate of 0.39‰. Among that, there were 27 main engine failures and 3 rudder failures, which caused 8 near misses(The ship involved in the incident was in the traffic flow and dispatched assistance forces, the same below).  In 2023, there are 85,000 ships entering and leaving the port, and 40 ship failures occurred in the port area, with a failure rate of 0.47‰. Among that, there</w:t>
      </w:r>
      <w:r w:rsidRPr="004953F1">
        <w:rPr>
          <w:rFonts w:asciiTheme="minorHAnsi" w:eastAsia="SimSun" w:hAnsiTheme="minorHAnsi" w:cstheme="minorHAnsi"/>
          <w:lang w:val="en-US" w:eastAsia="zh-CN"/>
        </w:rPr>
        <w:t xml:space="preserve"> were 29 main engine failures and 3 rudder failures, resulting in 10 near misses and 1 accident (collision). In 2024, there</w:t>
      </w:r>
      <w:r w:rsidRPr="004953F1">
        <w:rPr>
          <w:rFonts w:asciiTheme="minorHAnsi" w:eastAsia="SimSun" w:hAnsiTheme="minorHAnsi" w:cstheme="minorHAnsi"/>
          <w:lang w:val="en-US" w:eastAsia="zh-CN"/>
        </w:rPr>
        <w:t xml:space="preserve"> were</w:t>
      </w:r>
      <w:r w:rsidRPr="004953F1">
        <w:rPr>
          <w:rFonts w:asciiTheme="minorHAnsi" w:eastAsia="SimSun" w:hAnsiTheme="minorHAnsi" w:cstheme="minorHAnsi"/>
          <w:lang w:val="en-US" w:eastAsia="zh-CN"/>
        </w:rPr>
        <w:t xml:space="preserve"> 81,000 ships entering and leaving the port , and 43 ship failures occurred in the port area, with a failure rate of 0.53‰. Among that, there were 36 main engine failures and 4 rudder failures, resulting in 13 near misses.</w:t>
      </w:r>
    </w:p>
    <w:p w14:paraId="70DE6EF5" w14:textId="77777777" w:rsidR="008119D7" w:rsidRPr="004953F1" w:rsidRDefault="00EF6EAC">
      <w:pPr>
        <w:widowControl w:val="0"/>
        <w:adjustRightInd w:val="0"/>
        <w:snapToGrid w:val="0"/>
        <w:spacing w:beforeLines="100" w:before="240" w:afterLines="100" w:after="240"/>
        <w:ind w:firstLineChars="200" w:firstLine="440"/>
        <w:jc w:val="both"/>
        <w:rPr>
          <w:rFonts w:asciiTheme="minorHAnsi" w:eastAsia="SimSun" w:hAnsiTheme="minorHAnsi" w:cstheme="minorHAnsi"/>
          <w:lang w:val="en-US" w:eastAsia="zh-CN" w:bidi="ar"/>
        </w:rPr>
      </w:pPr>
      <w:r w:rsidRPr="004953F1">
        <w:rPr>
          <w:rFonts w:asciiTheme="minorHAnsi" w:eastAsia="SimSun" w:hAnsiTheme="minorHAnsi" w:cstheme="minorHAnsi"/>
          <w:lang w:val="en-US" w:eastAsia="zh-CN"/>
        </w:rPr>
        <w:t>●</w:t>
      </w:r>
      <w:r w:rsidRPr="004953F1">
        <w:rPr>
          <w:rFonts w:asciiTheme="minorHAnsi" w:eastAsia="SimSun" w:hAnsiTheme="minorHAnsi" w:cstheme="minorHAnsi"/>
          <w:color w:val="0070C0"/>
          <w:lang w:val="en-US" w:eastAsia="zh-CN"/>
        </w:rPr>
        <w:t xml:space="preserve"> </w:t>
      </w:r>
      <w:r w:rsidRPr="004953F1">
        <w:rPr>
          <w:rFonts w:asciiTheme="minorHAnsi" w:eastAsia="SimSun" w:hAnsiTheme="minorHAnsi" w:cstheme="minorHAnsi"/>
          <w:lang w:val="en-US" w:eastAsia="zh-CN"/>
        </w:rPr>
        <w:t>As one of the busiest ports in the world, Shanghai Port ranks among the world's top in terms of container and cargo throughput, and the total number of ship machinery failures occurring in dense traffic waters is also large. In 2022, there were 0.96 million ships entering and exiting the Shanghai Port area annually, with 253 ship failures and a failure rate of 0.26‰. The average age of the faulty ships was 12.77, including 203 main engine failures and 33 rudder failures, resulting in 37 near misses and 1 a</w:t>
      </w:r>
      <w:r w:rsidRPr="004953F1">
        <w:rPr>
          <w:rFonts w:asciiTheme="minorHAnsi" w:eastAsia="SimSun" w:hAnsiTheme="minorHAnsi" w:cstheme="minorHAnsi"/>
          <w:lang w:val="en-US" w:eastAsia="zh-CN"/>
        </w:rPr>
        <w:t>ccident (grounding).  In 2023, there were 1.12 million ships entering and leaving the Shanghai Port area, with 190 ship failures and a failure rate of 0.17‰. The average age of the faulty ships was 13.0, including 138 main engine failures and 21 steering gear failures, resulting in 48 near misses. In 2024 , there were 1.07 million ships entering and exiting the Shanghai Port area, with 164 ship failures and a failure rate of 0.15‰. The average age of the faulty ships was 13.43, including 126 main engine fai</w:t>
      </w:r>
      <w:r w:rsidRPr="004953F1">
        <w:rPr>
          <w:rFonts w:asciiTheme="minorHAnsi" w:eastAsia="SimSun" w:hAnsiTheme="minorHAnsi" w:cstheme="minorHAnsi"/>
          <w:lang w:val="en-US" w:eastAsia="zh-CN"/>
        </w:rPr>
        <w:t>lures and 18 rudder failures, resulting in 30 near misses and 2 accidents (collisions).</w:t>
      </w:r>
    </w:p>
    <w:p w14:paraId="70DE6EF6" w14:textId="77777777" w:rsidR="008119D7" w:rsidRPr="004953F1" w:rsidRDefault="00EF6EAC">
      <w:pPr>
        <w:widowControl w:val="0"/>
        <w:adjustRightInd w:val="0"/>
        <w:snapToGrid w:val="0"/>
        <w:spacing w:beforeLines="100" w:before="240" w:afterLines="100" w:after="240"/>
        <w:ind w:firstLineChars="200" w:firstLine="440"/>
        <w:jc w:val="both"/>
        <w:rPr>
          <w:rFonts w:asciiTheme="minorHAnsi" w:eastAsia="SimSun" w:hAnsiTheme="minorHAnsi" w:cstheme="minorHAnsi"/>
          <w:lang w:val="en-US" w:eastAsia="zh-CN"/>
        </w:rPr>
      </w:pPr>
      <w:r w:rsidRPr="004953F1">
        <w:rPr>
          <w:rFonts w:asciiTheme="minorHAnsi" w:eastAsia="SimSun" w:hAnsiTheme="minorHAnsi" w:cstheme="minorHAnsi"/>
          <w:lang w:val="en-US" w:eastAsia="zh-CN"/>
        </w:rPr>
        <w:t>●</w:t>
      </w:r>
      <w:r w:rsidRPr="004953F1">
        <w:rPr>
          <w:rFonts w:asciiTheme="minorHAnsi" w:eastAsia="SimSun" w:hAnsiTheme="minorHAnsi" w:cstheme="minorHAnsi"/>
          <w:lang w:val="en-US" w:eastAsia="zh-CN"/>
        </w:rPr>
        <w:t xml:space="preserve"> </w:t>
      </w:r>
      <w:r w:rsidRPr="004953F1">
        <w:rPr>
          <w:rFonts w:asciiTheme="minorHAnsi" w:eastAsia="SimSun" w:hAnsiTheme="minorHAnsi" w:cstheme="minorHAnsi"/>
          <w:lang w:val="en-US" w:eastAsia="zh-CN"/>
        </w:rPr>
        <w:t xml:space="preserve">As a hub in China and a large global port, Ningbo-Zhoushan Port's cargo throughput exceeded 1.37 billion tons in 2024, and incidents affecting traffic safety due to ship machinery failures in the port waters are also frequent. In 2022, there were 0.58 million ships entering and leaving the Ningbo-Zhoushan Port area, with 127 ship failures and a failure rate of 0.22‰. Among that, there were 102 </w:t>
      </w:r>
      <w:r w:rsidRPr="004953F1">
        <w:rPr>
          <w:rFonts w:asciiTheme="minorHAnsi" w:eastAsia="SimSun" w:hAnsiTheme="minorHAnsi" w:cstheme="minorHAnsi"/>
          <w:lang w:val="en-US" w:eastAsia="zh-CN"/>
        </w:rPr>
        <w:lastRenderedPageBreak/>
        <w:t xml:space="preserve">main engine failures and 13 steering gear failures, resulting in 29 near misses. In 2023, there were 0.75 million </w:t>
      </w:r>
      <w:r w:rsidRPr="004953F1">
        <w:rPr>
          <w:rFonts w:asciiTheme="minorHAnsi" w:eastAsia="SimSun" w:hAnsiTheme="minorHAnsi" w:cstheme="minorHAnsi"/>
          <w:lang w:val="en-US" w:eastAsia="zh-CN"/>
        </w:rPr>
        <w:t>ships entering and exiting the Ningbo-Zhoushan Port area each year, with 128 ship failures and a failure rate of 0.17‰. Among that, there were 74 main engine failures and 17 steering gear failures, resulting in 31 near misses. In 2024, there were 0.65 million ships entering and exiting the Ningbo-Zhoushan Port area, with 153 ship failures and a failure rate of 0.24‰. Among that, there were 118 main engine failures and 14 steering gear failures, resulting in 35 near misses.</w:t>
      </w:r>
    </w:p>
    <w:p w14:paraId="70DE6EF7" w14:textId="77777777" w:rsidR="008119D7" w:rsidRPr="004953F1" w:rsidRDefault="00EF6EAC">
      <w:pPr>
        <w:widowControl w:val="0"/>
        <w:adjustRightInd w:val="0"/>
        <w:snapToGrid w:val="0"/>
        <w:spacing w:beforeLines="100" w:before="240" w:afterLines="100" w:after="240"/>
        <w:ind w:firstLineChars="200" w:firstLine="440"/>
        <w:jc w:val="both"/>
        <w:rPr>
          <w:rFonts w:asciiTheme="minorHAnsi" w:eastAsia="SimSun" w:hAnsiTheme="minorHAnsi" w:cstheme="minorHAnsi"/>
          <w:lang w:val="en-US" w:eastAsia="zh-CN" w:bidi="ar"/>
        </w:rPr>
      </w:pPr>
      <w:r w:rsidRPr="004953F1">
        <w:rPr>
          <w:rFonts w:asciiTheme="minorHAnsi" w:eastAsia="SimSun" w:hAnsiTheme="minorHAnsi" w:cstheme="minorHAnsi"/>
          <w:lang w:val="en-US" w:eastAsia="zh-CN"/>
        </w:rPr>
        <w:t>●</w:t>
      </w:r>
      <w:r w:rsidRPr="004953F1">
        <w:rPr>
          <w:rFonts w:asciiTheme="minorHAnsi" w:eastAsia="SimSun" w:hAnsiTheme="minorHAnsi" w:cstheme="minorHAnsi"/>
          <w:lang w:val="en-US" w:eastAsia="zh-CN"/>
        </w:rPr>
        <w:t xml:space="preserve"> </w:t>
      </w:r>
      <w:r w:rsidRPr="004953F1">
        <w:rPr>
          <w:rFonts w:asciiTheme="minorHAnsi" w:eastAsia="SimSun" w:hAnsiTheme="minorHAnsi" w:cstheme="minorHAnsi"/>
          <w:lang w:val="en-US" w:eastAsia="zh-CN"/>
        </w:rPr>
        <w:t xml:space="preserve">As one hub port in the south of China, the cargo throughput of Guangzhou Port reached 680 million tons in 2024, and the incidents that affect traffic safety in port waters due to ship machinery failures are also frequent. </w:t>
      </w:r>
      <w:r w:rsidRPr="004953F1">
        <w:rPr>
          <w:rFonts w:asciiTheme="minorHAnsi" w:eastAsia="SimSun" w:hAnsiTheme="minorHAnsi" w:cstheme="minorHAnsi"/>
          <w:lang w:val="en-US" w:eastAsia="zh-CN"/>
        </w:rPr>
        <w:t xml:space="preserve">In 2022, there were 1.16million ships entering and leaving Guangzhou Port, </w:t>
      </w:r>
      <w:r w:rsidRPr="004953F1">
        <w:rPr>
          <w:rFonts w:asciiTheme="minorHAnsi" w:eastAsia="SimSun" w:hAnsiTheme="minorHAnsi" w:cstheme="minorHAnsi"/>
          <w:lang w:val="en-US" w:eastAsia="zh-CN"/>
        </w:rPr>
        <w:t>with</w:t>
      </w:r>
      <w:r w:rsidRPr="004953F1">
        <w:rPr>
          <w:rFonts w:asciiTheme="minorHAnsi" w:eastAsia="SimSun" w:hAnsiTheme="minorHAnsi" w:cstheme="minorHAnsi"/>
          <w:lang w:val="en-US" w:eastAsia="zh-CN"/>
        </w:rPr>
        <w:t xml:space="preserve"> 28 ship failures</w:t>
      </w:r>
      <w:r w:rsidRPr="004953F1">
        <w:rPr>
          <w:rFonts w:asciiTheme="minorHAnsi" w:eastAsia="SimSun" w:hAnsiTheme="minorHAnsi" w:cstheme="minorHAnsi"/>
          <w:lang w:val="en-US" w:eastAsia="zh-CN"/>
        </w:rPr>
        <w:t xml:space="preserve"> and</w:t>
      </w:r>
      <w:r w:rsidRPr="004953F1">
        <w:rPr>
          <w:rFonts w:asciiTheme="minorHAnsi" w:eastAsia="SimSun" w:hAnsiTheme="minorHAnsi" w:cstheme="minorHAnsi"/>
          <w:lang w:val="en-US" w:eastAsia="zh-CN"/>
        </w:rPr>
        <w:t xml:space="preserve"> a failure rate of 0.02‰, including 24 main engine failures and 2 steering gear failures, which led to 18 </w:t>
      </w:r>
      <w:r w:rsidRPr="004953F1">
        <w:rPr>
          <w:rFonts w:asciiTheme="minorHAnsi" w:eastAsia="SimSun" w:hAnsiTheme="minorHAnsi" w:cstheme="minorHAnsi"/>
          <w:lang w:val="en-US" w:eastAsia="zh-CN"/>
        </w:rPr>
        <w:t>near misses</w:t>
      </w:r>
      <w:r w:rsidRPr="004953F1">
        <w:rPr>
          <w:rFonts w:asciiTheme="minorHAnsi" w:eastAsia="SimSun" w:hAnsiTheme="minorHAnsi" w:cstheme="minorHAnsi"/>
          <w:lang w:val="en-US" w:eastAsia="zh-CN"/>
        </w:rPr>
        <w:t xml:space="preserve"> and 1 accident. In 2023, there were 1.23million ships entering and leav</w:t>
      </w:r>
      <w:r w:rsidRPr="004953F1">
        <w:rPr>
          <w:rFonts w:asciiTheme="minorHAnsi" w:eastAsia="SimSun" w:hAnsiTheme="minorHAnsi" w:cstheme="minorHAnsi"/>
          <w:lang w:val="en-US" w:eastAsia="zh-CN"/>
        </w:rPr>
        <w:t xml:space="preserve">ing Guangzhou Port Area, </w:t>
      </w:r>
      <w:r w:rsidRPr="004953F1">
        <w:rPr>
          <w:rFonts w:asciiTheme="minorHAnsi" w:eastAsia="SimSun" w:hAnsiTheme="minorHAnsi" w:cstheme="minorHAnsi"/>
          <w:lang w:val="en-US" w:eastAsia="zh-CN"/>
        </w:rPr>
        <w:t xml:space="preserve">with </w:t>
      </w:r>
      <w:r w:rsidRPr="004953F1">
        <w:rPr>
          <w:rFonts w:asciiTheme="minorHAnsi" w:eastAsia="SimSun" w:hAnsiTheme="minorHAnsi" w:cstheme="minorHAnsi"/>
          <w:lang w:val="en-US" w:eastAsia="zh-CN"/>
        </w:rPr>
        <w:t>37 ship failures occurred</w:t>
      </w:r>
      <w:r w:rsidRPr="004953F1">
        <w:rPr>
          <w:rFonts w:asciiTheme="minorHAnsi" w:eastAsia="SimSun" w:hAnsiTheme="minorHAnsi" w:cstheme="minorHAnsi"/>
          <w:lang w:val="en-US" w:eastAsia="zh-CN"/>
        </w:rPr>
        <w:t xml:space="preserve"> and</w:t>
      </w:r>
      <w:r w:rsidRPr="004953F1">
        <w:rPr>
          <w:rFonts w:asciiTheme="minorHAnsi" w:eastAsia="SimSun" w:hAnsiTheme="minorHAnsi" w:cstheme="minorHAnsi"/>
          <w:lang w:val="en-US" w:eastAsia="zh-CN"/>
        </w:rPr>
        <w:t xml:space="preserve"> a failure rate of 0.03‰, including 34 main engine failures and 2 steering gear failures, which led to</w:t>
      </w:r>
      <w:r w:rsidRPr="004953F1">
        <w:rPr>
          <w:rFonts w:asciiTheme="minorHAnsi" w:eastAsia="SimSun" w:hAnsiTheme="minorHAnsi" w:cstheme="minorHAnsi"/>
          <w:lang w:val="en-US" w:eastAsia="zh-CN"/>
        </w:rPr>
        <w:t xml:space="preserve"> </w:t>
      </w:r>
      <w:r w:rsidRPr="004953F1">
        <w:rPr>
          <w:rFonts w:asciiTheme="minorHAnsi" w:eastAsia="SimSun" w:hAnsiTheme="minorHAnsi" w:cstheme="minorHAnsi"/>
          <w:lang w:val="en-US" w:eastAsia="zh-CN"/>
        </w:rPr>
        <w:t xml:space="preserve">30 </w:t>
      </w:r>
      <w:r w:rsidRPr="004953F1">
        <w:rPr>
          <w:rFonts w:asciiTheme="minorHAnsi" w:eastAsia="SimSun" w:hAnsiTheme="minorHAnsi" w:cstheme="minorHAnsi"/>
          <w:lang w:val="en-US" w:eastAsia="zh-CN"/>
        </w:rPr>
        <w:t>near misses</w:t>
      </w:r>
      <w:r w:rsidRPr="004953F1">
        <w:rPr>
          <w:rFonts w:asciiTheme="minorHAnsi" w:eastAsia="SimSun" w:hAnsiTheme="minorHAnsi" w:cstheme="minorHAnsi"/>
          <w:lang w:val="en-US" w:eastAsia="zh-CN"/>
        </w:rPr>
        <w:t xml:space="preserve"> and 3 accidents. In 2024, there were 1.52million ships entering and leaving Guangzhou Port, and 91 ship failures occurred, with a failure rate of 0.06‰, including 78 main engine failures and 10 steering gear failures, which led to 56 </w:t>
      </w:r>
      <w:r w:rsidRPr="004953F1">
        <w:rPr>
          <w:rFonts w:asciiTheme="minorHAnsi" w:eastAsia="SimSun" w:hAnsiTheme="minorHAnsi" w:cstheme="minorHAnsi"/>
          <w:lang w:val="en-US" w:eastAsia="zh-CN"/>
        </w:rPr>
        <w:t>near misses</w:t>
      </w:r>
      <w:r w:rsidRPr="004953F1">
        <w:rPr>
          <w:rFonts w:asciiTheme="minorHAnsi" w:eastAsia="SimSun" w:hAnsiTheme="minorHAnsi" w:cstheme="minorHAnsi"/>
          <w:lang w:val="en-US" w:eastAsia="zh-CN"/>
        </w:rPr>
        <w:t xml:space="preserve"> and 9 accidents.</w:t>
      </w:r>
    </w:p>
    <w:p w14:paraId="70DE6EF8" w14:textId="77777777" w:rsidR="008119D7" w:rsidRPr="004953F1" w:rsidRDefault="00EF6EAC">
      <w:pPr>
        <w:widowControl w:val="0"/>
        <w:tabs>
          <w:tab w:val="left" w:pos="851"/>
        </w:tabs>
        <w:spacing w:afterLines="100" w:after="240"/>
        <w:rPr>
          <w:rFonts w:asciiTheme="minorHAnsi" w:eastAsia="SimSun" w:hAnsiTheme="minorHAnsi" w:cstheme="minorHAnsi"/>
          <w:b/>
          <w:caps/>
          <w:color w:val="0070C0"/>
          <w:kern w:val="28"/>
          <w:sz w:val="24"/>
          <w:lang w:val="en-US" w:eastAsia="zh-CN"/>
        </w:rPr>
      </w:pPr>
      <w:r w:rsidRPr="004953F1">
        <w:rPr>
          <w:rFonts w:asciiTheme="minorHAnsi" w:eastAsia="SimSun" w:hAnsiTheme="minorHAnsi" w:cstheme="minorHAnsi"/>
          <w:b/>
          <w:caps/>
          <w:color w:val="0070C0"/>
          <w:kern w:val="28"/>
          <w:sz w:val="24"/>
          <w:lang w:val="en-US" w:eastAsia="zh-CN"/>
        </w:rPr>
        <w:t>5    Outline of Typical near misses and accidents</w:t>
      </w:r>
    </w:p>
    <w:p w14:paraId="70DE6EF9" w14:textId="77777777" w:rsidR="008119D7" w:rsidRPr="004953F1" w:rsidRDefault="00EF6EAC">
      <w:pPr>
        <w:widowControl w:val="0"/>
        <w:adjustRightInd w:val="0"/>
        <w:snapToGrid w:val="0"/>
        <w:spacing w:afterLines="100" w:after="240"/>
        <w:jc w:val="both"/>
        <w:rPr>
          <w:rFonts w:asciiTheme="minorHAnsi" w:eastAsiaTheme="minorEastAsia" w:hAnsiTheme="minorHAnsi" w:cstheme="minorHAnsi"/>
          <w:lang w:val="en-US" w:eastAsia="zh-CN"/>
        </w:rPr>
      </w:pPr>
      <w:r w:rsidRPr="004953F1">
        <w:rPr>
          <w:rFonts w:asciiTheme="minorHAnsi" w:eastAsia="SimSun" w:hAnsiTheme="minorHAnsi" w:cstheme="minorHAnsi"/>
          <w:b/>
          <w:caps/>
          <w:color w:val="0070C0"/>
          <w:kern w:val="28"/>
          <w:sz w:val="24"/>
          <w:lang w:val="en-US" w:eastAsia="zh-CN"/>
        </w:rPr>
        <w:t>5.1 near misses</w:t>
      </w:r>
    </w:p>
    <w:p w14:paraId="70DE6EFA" w14:textId="77777777" w:rsidR="008119D7" w:rsidRPr="004953F1" w:rsidRDefault="00EF6EAC">
      <w:pPr>
        <w:widowControl w:val="0"/>
        <w:adjustRightInd w:val="0"/>
        <w:snapToGrid w:val="0"/>
        <w:spacing w:afterLines="100" w:after="240"/>
        <w:ind w:firstLineChars="400" w:firstLine="880"/>
        <w:jc w:val="both"/>
        <w:rPr>
          <w:rFonts w:asciiTheme="minorHAnsi" w:eastAsiaTheme="minorEastAsia" w:hAnsiTheme="minorHAnsi" w:cstheme="minorHAnsi"/>
          <w:lang w:val="en-US" w:eastAsia="zh-CN"/>
        </w:rPr>
      </w:pPr>
      <w:r w:rsidRPr="004953F1">
        <w:rPr>
          <w:rFonts w:asciiTheme="minorHAnsi" w:eastAsiaTheme="minorEastAsia" w:hAnsiTheme="minorHAnsi" w:cstheme="minorHAnsi"/>
          <w:lang w:val="en-US" w:eastAsia="zh-CN"/>
        </w:rPr>
        <w:t>Case 1: On June 11, 2024, at 2008</w:t>
      </w:r>
      <w:r w:rsidRPr="004953F1">
        <w:rPr>
          <w:rFonts w:asciiTheme="minorHAnsi" w:eastAsiaTheme="minorEastAsia" w:hAnsiTheme="minorHAnsi" w:cstheme="minorHAnsi"/>
          <w:lang w:val="en-US" w:eastAsia="zh-CN"/>
        </w:rPr>
        <w:t xml:space="preserve"> LT</w:t>
      </w:r>
      <w:r w:rsidRPr="004953F1">
        <w:rPr>
          <w:rFonts w:asciiTheme="minorHAnsi" w:eastAsiaTheme="minorEastAsia" w:hAnsiTheme="minorHAnsi" w:cstheme="minorHAnsi"/>
          <w:lang w:val="en-US" w:eastAsia="zh-CN"/>
        </w:rPr>
        <w:t>, Marshall Islands</w:t>
      </w:r>
      <w:r w:rsidRPr="004953F1">
        <w:rPr>
          <w:rFonts w:asciiTheme="minorHAnsi" w:eastAsiaTheme="minorEastAsia" w:hAnsiTheme="minorHAnsi" w:cstheme="minorHAnsi"/>
          <w:lang w:val="en-US" w:eastAsia="zh-CN"/>
        </w:rPr>
        <w:t xml:space="preserve"> </w:t>
      </w:r>
      <w:r w:rsidRPr="004953F1">
        <w:rPr>
          <w:rFonts w:asciiTheme="minorHAnsi" w:eastAsiaTheme="minorEastAsia" w:hAnsiTheme="minorHAnsi" w:cstheme="minorHAnsi"/>
          <w:lang w:val="en-US" w:eastAsia="zh-CN"/>
        </w:rPr>
        <w:t>flag bulk carrier "</w:t>
      </w:r>
      <w:r w:rsidRPr="004953F1">
        <w:rPr>
          <w:rFonts w:asciiTheme="minorHAnsi" w:eastAsiaTheme="minorEastAsia" w:hAnsiTheme="minorHAnsi" w:cstheme="minorHAnsi"/>
          <w:b/>
          <w:bCs/>
          <w:lang w:val="en-US" w:eastAsia="zh-CN"/>
        </w:rPr>
        <w:t>VALIANT</w:t>
      </w:r>
      <w:r w:rsidRPr="004953F1">
        <w:rPr>
          <w:rFonts w:asciiTheme="minorHAnsi" w:eastAsiaTheme="minorEastAsia" w:hAnsiTheme="minorHAnsi" w:cstheme="minorHAnsi"/>
          <w:lang w:val="en-US" w:eastAsia="zh-CN"/>
        </w:rPr>
        <w:t xml:space="preserve">" departed from Tianjin Port and sailed towards buoy </w:t>
      </w:r>
      <w:r w:rsidRPr="004953F1">
        <w:rPr>
          <w:rFonts w:asciiTheme="minorHAnsi" w:eastAsiaTheme="minorEastAsia" w:hAnsiTheme="minorHAnsi" w:cstheme="minorHAnsi"/>
          <w:lang w:val="en-US" w:eastAsia="zh-CN"/>
        </w:rPr>
        <w:t>N</w:t>
      </w:r>
      <w:r w:rsidRPr="004953F1">
        <w:rPr>
          <w:rFonts w:asciiTheme="minorHAnsi" w:eastAsiaTheme="minorEastAsia" w:hAnsiTheme="minorHAnsi" w:cstheme="minorHAnsi"/>
          <w:lang w:val="en-US" w:eastAsia="zh-CN"/>
        </w:rPr>
        <w:t xml:space="preserve">umber 44 in the channel. The steering gear jammed, causing loss </w:t>
      </w:r>
      <w:r w:rsidRPr="004953F1">
        <w:rPr>
          <w:rFonts w:asciiTheme="minorHAnsi" w:eastAsiaTheme="minorEastAsia" w:hAnsiTheme="minorHAnsi" w:cstheme="minorHAnsi"/>
          <w:lang w:val="en-US" w:eastAsia="zh-CN"/>
        </w:rPr>
        <w:t xml:space="preserve">of </w:t>
      </w:r>
      <w:r w:rsidRPr="004953F1">
        <w:rPr>
          <w:rFonts w:asciiTheme="minorHAnsi" w:eastAsiaTheme="minorEastAsia" w:hAnsiTheme="minorHAnsi" w:cstheme="minorHAnsi"/>
          <w:lang w:val="en-US" w:eastAsia="zh-CN"/>
        </w:rPr>
        <w:t xml:space="preserve">control and </w:t>
      </w:r>
      <w:r w:rsidRPr="004953F1">
        <w:rPr>
          <w:rFonts w:asciiTheme="minorHAnsi" w:eastAsiaTheme="minorEastAsia" w:hAnsiTheme="minorHAnsi" w:cstheme="minorHAnsi"/>
          <w:lang w:val="en-US" w:eastAsia="zh-CN"/>
        </w:rPr>
        <w:t>drift towards</w:t>
      </w:r>
      <w:r w:rsidRPr="004953F1">
        <w:rPr>
          <w:rFonts w:asciiTheme="minorHAnsi" w:eastAsiaTheme="minorEastAsia" w:hAnsiTheme="minorHAnsi" w:cstheme="minorHAnsi"/>
          <w:lang w:val="en-US" w:eastAsia="zh-CN"/>
        </w:rPr>
        <w:t xml:space="preserve"> </w:t>
      </w:r>
      <w:r w:rsidRPr="004953F1">
        <w:rPr>
          <w:rFonts w:asciiTheme="minorHAnsi" w:eastAsia="SimSun" w:hAnsiTheme="minorHAnsi" w:cstheme="minorHAnsi"/>
          <w:lang w:val="en-US" w:eastAsia="zh-CN"/>
        </w:rPr>
        <w:t>a</w:t>
      </w:r>
      <w:r w:rsidRPr="004953F1">
        <w:rPr>
          <w:rFonts w:asciiTheme="minorHAnsi" w:eastAsiaTheme="minorEastAsia" w:hAnsiTheme="minorHAnsi" w:cstheme="minorHAnsi"/>
          <w:lang w:val="en-US" w:eastAsia="zh-CN"/>
        </w:rPr>
        <w:t xml:space="preserve"> buoy. </w:t>
      </w:r>
      <w:r w:rsidRPr="004953F1">
        <w:rPr>
          <w:rFonts w:asciiTheme="minorHAnsi" w:eastAsiaTheme="minorEastAsia" w:hAnsiTheme="minorHAnsi" w:cstheme="minorHAnsi"/>
          <w:lang w:val="en-US" w:eastAsia="zh-CN"/>
        </w:rPr>
        <w:t>Emergency anchoring was executed to arrest the drift.</w:t>
      </w:r>
      <w:r w:rsidRPr="004953F1">
        <w:rPr>
          <w:rFonts w:asciiTheme="minorHAnsi" w:eastAsiaTheme="minorEastAsia" w:hAnsiTheme="minorHAnsi" w:cstheme="minorHAnsi"/>
          <w:lang w:val="en-US" w:eastAsia="zh-CN"/>
        </w:rPr>
        <w:t xml:space="preserve"> At 2012</w:t>
      </w:r>
      <w:r w:rsidRPr="004953F1">
        <w:rPr>
          <w:rFonts w:asciiTheme="minorHAnsi" w:eastAsiaTheme="minorEastAsia" w:hAnsiTheme="minorHAnsi" w:cstheme="minorHAnsi"/>
          <w:lang w:val="en-US" w:eastAsia="zh-CN"/>
        </w:rPr>
        <w:t xml:space="preserve"> LT, </w:t>
      </w:r>
      <w:r w:rsidRPr="004953F1">
        <w:rPr>
          <w:rFonts w:asciiTheme="minorHAnsi" w:eastAsiaTheme="minorEastAsia" w:hAnsiTheme="minorHAnsi" w:cstheme="minorHAnsi"/>
          <w:lang w:val="en-US" w:eastAsia="zh-CN"/>
        </w:rPr>
        <w:t>a tugboat was dispatched to assist in controlling the vessel's position. At 2020</w:t>
      </w:r>
      <w:r w:rsidRPr="004953F1">
        <w:rPr>
          <w:rFonts w:asciiTheme="minorHAnsi" w:eastAsiaTheme="minorEastAsia" w:hAnsiTheme="minorHAnsi" w:cstheme="minorHAnsi"/>
          <w:lang w:val="en-US" w:eastAsia="zh-CN"/>
        </w:rPr>
        <w:t xml:space="preserve"> LT</w:t>
      </w:r>
      <w:r w:rsidRPr="004953F1">
        <w:rPr>
          <w:rFonts w:asciiTheme="minorHAnsi" w:eastAsiaTheme="minorEastAsia" w:hAnsiTheme="minorHAnsi" w:cstheme="minorHAnsi"/>
          <w:lang w:val="en-US" w:eastAsia="zh-CN"/>
        </w:rPr>
        <w:t>, the vessel's position was under control, and temporary traffic control was implemented in the channel. At 2042</w:t>
      </w:r>
      <w:r w:rsidRPr="004953F1">
        <w:rPr>
          <w:rFonts w:asciiTheme="minorHAnsi" w:eastAsiaTheme="minorEastAsia" w:hAnsiTheme="minorHAnsi" w:cstheme="minorHAnsi"/>
          <w:lang w:val="en-US" w:eastAsia="zh-CN"/>
        </w:rPr>
        <w:t xml:space="preserve"> LT</w:t>
      </w:r>
      <w:r w:rsidRPr="004953F1">
        <w:rPr>
          <w:rFonts w:asciiTheme="minorHAnsi" w:eastAsiaTheme="minorEastAsia" w:hAnsiTheme="minorHAnsi" w:cstheme="minorHAnsi"/>
          <w:lang w:val="en-US" w:eastAsia="zh-CN"/>
        </w:rPr>
        <w:t xml:space="preserve">, the anchor was weighed and </w:t>
      </w:r>
      <w:r w:rsidRPr="004953F1">
        <w:rPr>
          <w:rFonts w:asciiTheme="minorHAnsi" w:eastAsiaTheme="minorEastAsia" w:hAnsiTheme="minorHAnsi" w:cstheme="minorHAnsi"/>
          <w:lang w:val="en-US" w:eastAsia="zh-CN"/>
        </w:rPr>
        <w:t>navigation resum</w:t>
      </w:r>
      <w:r w:rsidRPr="004953F1">
        <w:rPr>
          <w:rFonts w:asciiTheme="minorHAnsi" w:eastAsiaTheme="minorEastAsia" w:hAnsiTheme="minorHAnsi" w:cstheme="minorHAnsi"/>
          <w:lang w:val="en-US" w:eastAsia="zh-CN"/>
        </w:rPr>
        <w:t xml:space="preserve">ed under tug escort outbound, with normal </w:t>
      </w:r>
      <w:r w:rsidRPr="004953F1">
        <w:rPr>
          <w:rFonts w:asciiTheme="minorHAnsi" w:eastAsiaTheme="minorEastAsia" w:hAnsiTheme="minorHAnsi" w:cstheme="minorHAnsi"/>
          <w:lang w:val="en-US" w:eastAsia="zh-CN"/>
        </w:rPr>
        <w:t xml:space="preserve">traffic </w:t>
      </w:r>
      <w:r w:rsidRPr="004953F1">
        <w:rPr>
          <w:rFonts w:asciiTheme="minorHAnsi" w:eastAsiaTheme="minorEastAsia" w:hAnsiTheme="minorHAnsi" w:cstheme="minorHAnsi"/>
          <w:lang w:val="en-US" w:eastAsia="zh-CN"/>
        </w:rPr>
        <w:t>flow</w:t>
      </w:r>
      <w:r w:rsidRPr="004953F1">
        <w:rPr>
          <w:rFonts w:asciiTheme="minorHAnsi" w:eastAsiaTheme="minorEastAsia" w:hAnsiTheme="minorHAnsi" w:cstheme="minorHAnsi"/>
          <w:lang w:val="en-US" w:eastAsia="zh-CN"/>
        </w:rPr>
        <w:t xml:space="preserve"> restored.</w:t>
      </w:r>
    </w:p>
    <w:p w14:paraId="70DE6EFB" w14:textId="77777777" w:rsidR="008119D7" w:rsidRPr="004953F1" w:rsidRDefault="00EF6EAC">
      <w:pPr>
        <w:widowControl w:val="0"/>
        <w:adjustRightInd w:val="0"/>
        <w:snapToGrid w:val="0"/>
        <w:spacing w:beforeLines="100" w:before="240" w:afterLines="100" w:after="240"/>
        <w:ind w:firstLineChars="400" w:firstLine="880"/>
        <w:jc w:val="both"/>
        <w:rPr>
          <w:rFonts w:asciiTheme="minorHAnsi" w:eastAsiaTheme="minorEastAsia" w:hAnsiTheme="minorHAnsi" w:cstheme="minorHAnsi"/>
          <w:lang w:val="en-US" w:eastAsia="zh-CN"/>
        </w:rPr>
      </w:pPr>
      <w:r w:rsidRPr="004953F1">
        <w:rPr>
          <w:rFonts w:asciiTheme="minorHAnsi" w:eastAsiaTheme="minorEastAsia" w:hAnsiTheme="minorHAnsi" w:cstheme="minorHAnsi"/>
          <w:lang w:val="en-US" w:eastAsia="zh-CN"/>
        </w:rPr>
        <w:t>Case 2: On September 1</w:t>
      </w:r>
      <w:r w:rsidRPr="004953F1">
        <w:rPr>
          <w:rFonts w:asciiTheme="minorHAnsi" w:eastAsiaTheme="minorEastAsia" w:hAnsiTheme="minorHAnsi" w:cstheme="minorHAnsi"/>
          <w:lang w:val="en-US" w:eastAsia="zh-CN"/>
        </w:rPr>
        <w:t>st</w:t>
      </w:r>
      <w:r w:rsidRPr="004953F1">
        <w:rPr>
          <w:rFonts w:asciiTheme="minorHAnsi" w:eastAsiaTheme="minorEastAsia" w:hAnsiTheme="minorHAnsi" w:cstheme="minorHAnsi"/>
          <w:lang w:val="en-US" w:eastAsia="zh-CN"/>
        </w:rPr>
        <w:t>, 2024</w:t>
      </w:r>
      <w:r w:rsidRPr="004953F1">
        <w:rPr>
          <w:rFonts w:asciiTheme="minorHAnsi" w:eastAsiaTheme="minorEastAsia" w:hAnsiTheme="minorHAnsi" w:cstheme="minorHAnsi"/>
          <w:lang w:val="en-US" w:eastAsia="zh-CN"/>
        </w:rPr>
        <w:t xml:space="preserve"> and at 1500 LT,</w:t>
      </w:r>
      <w:r w:rsidRPr="004953F1">
        <w:rPr>
          <w:rFonts w:asciiTheme="minorHAnsi" w:eastAsiaTheme="minorEastAsia" w:hAnsiTheme="minorHAnsi" w:cstheme="minorHAnsi"/>
          <w:lang w:val="en-US" w:eastAsia="zh-CN"/>
        </w:rPr>
        <w:t xml:space="preserve"> Panamanian </w:t>
      </w:r>
      <w:r w:rsidRPr="004953F1">
        <w:rPr>
          <w:rFonts w:asciiTheme="minorHAnsi" w:eastAsiaTheme="minorEastAsia" w:hAnsiTheme="minorHAnsi" w:cstheme="minorHAnsi"/>
          <w:lang w:val="en-US" w:eastAsia="zh-CN"/>
        </w:rPr>
        <w:t xml:space="preserve">flag </w:t>
      </w:r>
      <w:r w:rsidRPr="004953F1">
        <w:rPr>
          <w:rFonts w:asciiTheme="minorHAnsi" w:eastAsiaTheme="minorEastAsia" w:hAnsiTheme="minorHAnsi" w:cstheme="minorHAnsi"/>
          <w:lang w:val="en-US" w:eastAsia="zh-CN"/>
        </w:rPr>
        <w:t>bulk carrier "</w:t>
      </w:r>
      <w:r w:rsidRPr="004953F1">
        <w:rPr>
          <w:rFonts w:asciiTheme="minorHAnsi" w:eastAsiaTheme="minorEastAsia" w:hAnsiTheme="minorHAnsi" w:cstheme="minorHAnsi"/>
          <w:b/>
          <w:bCs/>
          <w:lang w:val="en-US" w:eastAsia="zh-CN"/>
        </w:rPr>
        <w:t>ASIAN PEARLS</w:t>
      </w:r>
      <w:r w:rsidRPr="004953F1">
        <w:rPr>
          <w:rFonts w:asciiTheme="minorHAnsi" w:eastAsiaTheme="minorEastAsia" w:hAnsiTheme="minorHAnsi" w:cstheme="minorHAnsi"/>
          <w:lang w:val="en-US" w:eastAsia="zh-CN"/>
        </w:rPr>
        <w:t xml:space="preserve">" experienced a </w:t>
      </w:r>
      <w:r w:rsidRPr="004953F1">
        <w:rPr>
          <w:rFonts w:asciiTheme="minorHAnsi" w:eastAsiaTheme="minorEastAsia" w:hAnsiTheme="minorHAnsi" w:cstheme="minorHAnsi"/>
          <w:lang w:val="en-US" w:eastAsia="zh-CN"/>
        </w:rPr>
        <w:t>complete blackout</w:t>
      </w:r>
      <w:r w:rsidRPr="004953F1">
        <w:rPr>
          <w:rFonts w:asciiTheme="minorHAnsi" w:eastAsiaTheme="minorEastAsia" w:hAnsiTheme="minorHAnsi" w:cstheme="minorHAnsi"/>
          <w:lang w:val="en-US" w:eastAsia="zh-CN"/>
        </w:rPr>
        <w:t xml:space="preserve"> while entering the port from the south side of </w:t>
      </w:r>
      <w:r w:rsidRPr="004953F1">
        <w:rPr>
          <w:rFonts w:asciiTheme="minorHAnsi" w:eastAsiaTheme="minorEastAsia" w:hAnsiTheme="minorHAnsi" w:cstheme="minorHAnsi"/>
          <w:lang w:val="en-US" w:eastAsia="zh-CN"/>
        </w:rPr>
        <w:t>B</w:t>
      </w:r>
      <w:r w:rsidRPr="004953F1">
        <w:rPr>
          <w:rFonts w:asciiTheme="minorHAnsi" w:eastAsiaTheme="minorEastAsia" w:hAnsiTheme="minorHAnsi" w:cstheme="minorHAnsi"/>
          <w:lang w:val="en-US" w:eastAsia="zh-CN"/>
        </w:rPr>
        <w:t xml:space="preserve">uoy </w:t>
      </w:r>
      <w:r w:rsidRPr="004953F1">
        <w:rPr>
          <w:rFonts w:asciiTheme="minorHAnsi" w:eastAsiaTheme="minorEastAsia" w:hAnsiTheme="minorHAnsi" w:cstheme="minorHAnsi"/>
          <w:lang w:val="en-US" w:eastAsia="zh-CN"/>
        </w:rPr>
        <w:t>No.</w:t>
      </w:r>
      <w:r w:rsidRPr="004953F1">
        <w:rPr>
          <w:rFonts w:asciiTheme="minorHAnsi" w:eastAsiaTheme="minorEastAsia" w:hAnsiTheme="minorHAnsi" w:cstheme="minorHAnsi"/>
          <w:lang w:val="en-US" w:eastAsia="zh-CN"/>
        </w:rPr>
        <w:t>83 on the Baobei channel in Shanghai Port, causing the rudder to jam and leaving the vessel out of control, posing a threat to the safety of ships anchored in the anchorage to the south. Tugboats were dispatched for emergency response, and the vessel berthed at the dock at 1715</w:t>
      </w:r>
      <w:r w:rsidRPr="004953F1">
        <w:rPr>
          <w:rFonts w:asciiTheme="minorHAnsi" w:eastAsiaTheme="minorEastAsia" w:hAnsiTheme="minorHAnsi" w:cstheme="minorHAnsi"/>
          <w:lang w:val="en-US" w:eastAsia="zh-CN"/>
        </w:rPr>
        <w:t xml:space="preserve"> LT</w:t>
      </w:r>
      <w:r w:rsidRPr="004953F1">
        <w:rPr>
          <w:rFonts w:asciiTheme="minorHAnsi" w:eastAsiaTheme="minorEastAsia" w:hAnsiTheme="minorHAnsi" w:cstheme="minorHAnsi"/>
          <w:lang w:val="en-US" w:eastAsia="zh-CN"/>
        </w:rPr>
        <w:t>.</w:t>
      </w:r>
    </w:p>
    <w:p w14:paraId="70DE6EFC" w14:textId="77777777" w:rsidR="008119D7" w:rsidRPr="004953F1" w:rsidRDefault="00EF6EAC">
      <w:pPr>
        <w:widowControl w:val="0"/>
        <w:adjustRightInd w:val="0"/>
        <w:snapToGrid w:val="0"/>
        <w:spacing w:beforeLines="100" w:before="240" w:afterLines="100" w:after="240"/>
        <w:jc w:val="both"/>
        <w:rPr>
          <w:rFonts w:asciiTheme="minorHAnsi" w:eastAsiaTheme="minorEastAsia" w:hAnsiTheme="minorHAnsi" w:cstheme="minorHAnsi"/>
          <w:lang w:val="en-US" w:eastAsia="zh-CN"/>
        </w:rPr>
      </w:pPr>
      <w:r w:rsidRPr="004953F1">
        <w:rPr>
          <w:rFonts w:asciiTheme="minorHAnsi" w:eastAsia="SimSun" w:hAnsiTheme="minorHAnsi" w:cstheme="minorHAnsi"/>
          <w:b/>
          <w:caps/>
          <w:color w:val="0070C0"/>
          <w:kern w:val="28"/>
          <w:sz w:val="24"/>
          <w:lang w:val="en-US" w:eastAsia="zh-CN"/>
        </w:rPr>
        <w:t>5.2  accidents</w:t>
      </w:r>
    </w:p>
    <w:p w14:paraId="70DE6EFD" w14:textId="77777777" w:rsidR="008119D7" w:rsidRPr="004953F1" w:rsidRDefault="00EF6EAC">
      <w:pPr>
        <w:widowControl w:val="0"/>
        <w:adjustRightInd w:val="0"/>
        <w:snapToGrid w:val="0"/>
        <w:spacing w:beforeLines="100" w:before="240" w:afterLines="100" w:after="240"/>
        <w:ind w:firstLineChars="400" w:firstLine="880"/>
        <w:jc w:val="both"/>
        <w:rPr>
          <w:rFonts w:asciiTheme="minorHAnsi" w:hAnsiTheme="minorHAnsi" w:cstheme="minorHAnsi"/>
          <w:lang w:val="en-US" w:eastAsia="zh-CN"/>
        </w:rPr>
      </w:pPr>
      <w:r w:rsidRPr="004953F1">
        <w:rPr>
          <w:rFonts w:asciiTheme="minorHAnsi" w:hAnsiTheme="minorHAnsi" w:cstheme="minorHAnsi"/>
          <w:lang w:val="en-US" w:eastAsia="zh-CN"/>
        </w:rPr>
        <w:t>Case 3: On February 25th, 2023, "</w:t>
      </w:r>
      <w:r w:rsidRPr="004953F1">
        <w:rPr>
          <w:rFonts w:asciiTheme="minorHAnsi" w:hAnsiTheme="minorHAnsi" w:cstheme="minorHAnsi"/>
          <w:b/>
          <w:bCs/>
          <w:lang w:val="en-US" w:eastAsia="zh-CN"/>
        </w:rPr>
        <w:t>WAN HAI235</w:t>
      </w:r>
      <w:r w:rsidRPr="004953F1">
        <w:rPr>
          <w:rFonts w:asciiTheme="minorHAnsi" w:hAnsiTheme="minorHAnsi" w:cstheme="minorHAnsi"/>
          <w:lang w:val="en-US" w:eastAsia="zh-CN"/>
        </w:rPr>
        <w:t xml:space="preserve">" with a </w:t>
      </w:r>
      <w:r w:rsidRPr="004953F1">
        <w:rPr>
          <w:rFonts w:asciiTheme="minorHAnsi" w:hAnsiTheme="minorHAnsi" w:cstheme="minorHAnsi"/>
          <w:lang w:val="en-US" w:eastAsia="zh-CN"/>
        </w:rPr>
        <w:t>Taiwan, China</w:t>
      </w:r>
      <w:r w:rsidRPr="004953F1">
        <w:rPr>
          <w:rFonts w:asciiTheme="minorHAnsi" w:hAnsiTheme="minorHAnsi" w:cstheme="minorHAnsi"/>
          <w:lang w:val="en-US" w:eastAsia="zh-CN"/>
        </w:rPr>
        <w:t xml:space="preserve"> registry, while departing from the port of Tianjin, experienced a rudder failure for 3 minutes. After the rudder was restored, the ship's maneuverability was compromised. An emergency was declared, and the vessel dropped both anchors to brake. It subsequently collided with the berthed ship "</w:t>
      </w:r>
      <w:r w:rsidRPr="004953F1">
        <w:rPr>
          <w:rFonts w:asciiTheme="minorHAnsi" w:hAnsiTheme="minorHAnsi" w:cstheme="minorHAnsi"/>
          <w:b/>
          <w:bCs/>
          <w:lang w:val="en-US" w:eastAsia="zh-CN"/>
        </w:rPr>
        <w:t>SHEN HUA512</w:t>
      </w:r>
      <w:r w:rsidRPr="004953F1">
        <w:rPr>
          <w:rFonts w:asciiTheme="minorHAnsi" w:hAnsiTheme="minorHAnsi" w:cstheme="minorHAnsi"/>
          <w:lang w:val="en-US" w:eastAsia="zh-CN"/>
        </w:rPr>
        <w:t>".</w:t>
      </w:r>
    </w:p>
    <w:p w14:paraId="70DE6EFE"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hAnsiTheme="minorHAnsi" w:cstheme="minorHAnsi"/>
          <w:lang w:val="en-US" w:eastAsia="zh-CN"/>
        </w:rPr>
        <w:t>Case 4: On May 24th, 2023, Chinese flag ship "</w:t>
      </w:r>
      <w:r w:rsidRPr="004953F1">
        <w:rPr>
          <w:rFonts w:asciiTheme="minorHAnsi" w:hAnsiTheme="minorHAnsi" w:cstheme="minorHAnsi"/>
          <w:b/>
          <w:bCs/>
          <w:lang w:val="en-US" w:eastAsia="zh-CN"/>
        </w:rPr>
        <w:t>RENJIAN JINGTANG</w:t>
      </w:r>
      <w:r w:rsidRPr="004953F1">
        <w:rPr>
          <w:rFonts w:asciiTheme="minorHAnsi" w:hAnsiTheme="minorHAnsi" w:cstheme="minorHAnsi"/>
          <w:lang w:val="en-US" w:eastAsia="zh-CN"/>
        </w:rPr>
        <w:t>" had a main engine failure when leaving Tianjin Port near Dagu Lighthouse. After becoming uncontrollable, the ship conducted an emergency anchoring near Dagu Lighthouse to stabilize its position. The anchor was deliberately abandoned during retrieval attempts.</w:t>
      </w:r>
    </w:p>
    <w:p w14:paraId="70DE6EFF"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hAnsiTheme="minorHAnsi" w:cstheme="minorHAnsi"/>
          <w:lang w:val="en-US" w:eastAsia="zh-CN"/>
        </w:rPr>
        <w:t>Case 5: On May 12th, 2024, Panamanian flag ship "</w:t>
      </w:r>
      <w:r w:rsidRPr="004953F1">
        <w:rPr>
          <w:rFonts w:asciiTheme="minorHAnsi" w:hAnsiTheme="minorHAnsi" w:cstheme="minorHAnsi"/>
          <w:b/>
          <w:bCs/>
          <w:lang w:val="en-US" w:eastAsia="zh-CN"/>
        </w:rPr>
        <w:t>AVIGATOR</w:t>
      </w:r>
      <w:r w:rsidRPr="004953F1">
        <w:rPr>
          <w:rFonts w:asciiTheme="minorHAnsi" w:hAnsiTheme="minorHAnsi" w:cstheme="minorHAnsi"/>
          <w:lang w:val="en-US" w:eastAsia="zh-CN"/>
        </w:rPr>
        <w:t>" entered the port and reported a main engine failure near the No.9 Buoy in the north channel of Shanghai Port. When maneuvering out of the channel, the ship lost steering effectiveness due to slow speed. The attempt to anchor on the northeast side of the buoy failed. During anchor retrieval, the anchor chain fouled with the buoy, causing the buoy  to shift.</w:t>
      </w:r>
    </w:p>
    <w:p w14:paraId="70DE6F00"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hAnsiTheme="minorHAnsi" w:cstheme="minorHAnsi"/>
          <w:lang w:val="en-US" w:eastAsia="zh-CN"/>
        </w:rPr>
        <w:t>Case 6: On June 10th, 2024,at 1750 LT, liquefied gas carrier flying Panamanian flag "</w:t>
      </w:r>
      <w:r w:rsidRPr="004953F1">
        <w:rPr>
          <w:rFonts w:asciiTheme="minorHAnsi" w:hAnsiTheme="minorHAnsi" w:cstheme="minorHAnsi"/>
          <w:b/>
          <w:bCs/>
          <w:lang w:val="en-US" w:eastAsia="zh-CN"/>
        </w:rPr>
        <w:t>CALYPSO 7</w:t>
      </w:r>
      <w:r w:rsidRPr="004953F1">
        <w:rPr>
          <w:rFonts w:asciiTheme="minorHAnsi" w:hAnsiTheme="minorHAnsi" w:cstheme="minorHAnsi"/>
          <w:lang w:val="en-US" w:eastAsia="zh-CN"/>
        </w:rPr>
        <w:t xml:space="preserve">" suffered a complete blackout when leaving one Shipyard located at Guangzhou Port . After the ship lost control, the stern touched the No.11 Buoy, causing the Buoy to shift to the south by 2700 meters. </w:t>
      </w:r>
      <w:r w:rsidRPr="004953F1">
        <w:rPr>
          <w:rFonts w:asciiTheme="minorHAnsi" w:hAnsiTheme="minorHAnsi" w:cstheme="minorHAnsi"/>
          <w:lang w:val="en-US" w:eastAsia="zh-CN"/>
        </w:rPr>
        <w:t xml:space="preserve">Finally, the ship </w:t>
      </w:r>
      <w:r w:rsidRPr="004953F1">
        <w:rPr>
          <w:rFonts w:asciiTheme="minorHAnsi" w:hAnsiTheme="minorHAnsi" w:cstheme="minorHAnsi"/>
          <w:lang w:val="en-US" w:eastAsia="zh-CN"/>
        </w:rPr>
        <w:t xml:space="preserve">executed emergency anchoring </w:t>
      </w:r>
      <w:r w:rsidRPr="004953F1">
        <w:rPr>
          <w:rFonts w:asciiTheme="minorHAnsi" w:hAnsiTheme="minorHAnsi" w:cstheme="minorHAnsi"/>
          <w:lang w:val="en-US" w:eastAsia="zh-CN"/>
        </w:rPr>
        <w:t xml:space="preserve">in the channel. At 2110 </w:t>
      </w:r>
      <w:r w:rsidRPr="004953F1">
        <w:rPr>
          <w:rFonts w:asciiTheme="minorHAnsi" w:hAnsiTheme="minorHAnsi" w:cstheme="minorHAnsi"/>
          <w:lang w:val="en-US" w:eastAsia="zh-CN"/>
        </w:rPr>
        <w:t>LT</w:t>
      </w:r>
      <w:r w:rsidRPr="004953F1">
        <w:rPr>
          <w:rFonts w:asciiTheme="minorHAnsi" w:hAnsiTheme="minorHAnsi" w:cstheme="minorHAnsi"/>
          <w:lang w:val="en-US" w:eastAsia="zh-CN"/>
        </w:rPr>
        <w:t>, three tugboats assisted</w:t>
      </w:r>
      <w:r w:rsidRPr="004953F1">
        <w:rPr>
          <w:rFonts w:asciiTheme="minorHAnsi" w:hAnsiTheme="minorHAnsi" w:cstheme="minorHAnsi"/>
          <w:lang w:val="en-US" w:eastAsia="zh-CN"/>
        </w:rPr>
        <w:t xml:space="preserve"> collectively to relocate</w:t>
      </w:r>
      <w:r w:rsidRPr="004953F1">
        <w:rPr>
          <w:rFonts w:asciiTheme="minorHAnsi" w:hAnsiTheme="minorHAnsi" w:cstheme="minorHAnsi"/>
          <w:lang w:val="en-US" w:eastAsia="zh-CN"/>
        </w:rPr>
        <w:t xml:space="preserve"> the ship out</w:t>
      </w:r>
      <w:r w:rsidRPr="004953F1">
        <w:rPr>
          <w:rFonts w:asciiTheme="minorHAnsi" w:hAnsiTheme="minorHAnsi" w:cstheme="minorHAnsi"/>
          <w:lang w:val="en-US" w:eastAsia="zh-CN"/>
        </w:rPr>
        <w:t xml:space="preserve">side </w:t>
      </w:r>
      <w:r w:rsidRPr="004953F1">
        <w:rPr>
          <w:rFonts w:asciiTheme="minorHAnsi" w:hAnsiTheme="minorHAnsi" w:cstheme="minorHAnsi"/>
          <w:lang w:val="en-US" w:eastAsia="zh-CN"/>
        </w:rPr>
        <w:t xml:space="preserve">the channel and escorted </w:t>
      </w:r>
      <w:r w:rsidRPr="004953F1">
        <w:rPr>
          <w:rFonts w:asciiTheme="minorHAnsi" w:hAnsiTheme="minorHAnsi" w:cstheme="minorHAnsi"/>
          <w:lang w:val="en-US" w:eastAsia="zh-CN"/>
        </w:rPr>
        <w:t>her</w:t>
      </w:r>
      <w:r w:rsidRPr="004953F1">
        <w:rPr>
          <w:rFonts w:asciiTheme="minorHAnsi" w:hAnsiTheme="minorHAnsi" w:cstheme="minorHAnsi"/>
          <w:lang w:val="en-US" w:eastAsia="zh-CN"/>
        </w:rPr>
        <w:t xml:space="preserve"> to the anchorage.</w:t>
      </w:r>
    </w:p>
    <w:p w14:paraId="70DE6F01" w14:textId="77777777" w:rsidR="008119D7" w:rsidRPr="004953F1" w:rsidRDefault="00EF6EAC">
      <w:pPr>
        <w:widowControl w:val="0"/>
        <w:adjustRightInd w:val="0"/>
        <w:snapToGrid w:val="0"/>
        <w:spacing w:afterLines="100" w:after="240"/>
        <w:jc w:val="both"/>
        <w:rPr>
          <w:rFonts w:asciiTheme="minorHAnsi" w:hAnsiTheme="minorHAnsi" w:cstheme="minorHAnsi"/>
          <w:lang w:val="en-US" w:eastAsia="zh-CN"/>
        </w:rPr>
      </w:pPr>
      <w:r w:rsidRPr="004953F1">
        <w:rPr>
          <w:rFonts w:asciiTheme="minorHAnsi" w:hAnsiTheme="minorHAnsi" w:cstheme="minorHAnsi"/>
          <w:lang w:val="en-US" w:eastAsia="zh-CN"/>
        </w:rPr>
        <w:t>A key similarity across the aforementioned near miss incidents and casualties lies in their causation by the ship's machinery failure that impaired the normal manoeuvring capability of the ship, coupled with the limited water area, leaving the crew or pilot with critically limited reaction time, ultimately causing safety threat or damage to nearby ships or Aids to navigation.</w:t>
      </w:r>
    </w:p>
    <w:p w14:paraId="70DE6F02" w14:textId="77777777" w:rsidR="008119D7" w:rsidRPr="004953F1" w:rsidRDefault="00EF6EAC">
      <w:pPr>
        <w:widowControl w:val="0"/>
        <w:adjustRightInd w:val="0"/>
        <w:snapToGrid w:val="0"/>
        <w:spacing w:beforeLines="100" w:before="240" w:afterLines="100" w:after="240"/>
        <w:jc w:val="both"/>
        <w:rPr>
          <w:rFonts w:asciiTheme="minorHAnsi" w:eastAsia="SimSun" w:hAnsiTheme="minorHAnsi" w:cstheme="minorHAnsi"/>
          <w:lang w:val="en-US" w:eastAsia="zh-CN"/>
        </w:rPr>
      </w:pPr>
      <w:r w:rsidRPr="004953F1">
        <w:rPr>
          <w:rFonts w:asciiTheme="minorHAnsi" w:eastAsia="SimSun" w:hAnsiTheme="minorHAnsi" w:cstheme="minorHAnsi"/>
          <w:b/>
          <w:caps/>
          <w:color w:val="0070C0"/>
          <w:kern w:val="28"/>
          <w:sz w:val="24"/>
          <w:lang w:val="en-US" w:eastAsia="zh-CN"/>
        </w:rPr>
        <w:t>6    Safety analysis</w:t>
      </w:r>
    </w:p>
    <w:p w14:paraId="70DE6F03" w14:textId="77777777" w:rsidR="008119D7" w:rsidRPr="004953F1" w:rsidRDefault="00EF6EAC">
      <w:pPr>
        <w:widowControl w:val="0"/>
        <w:adjustRightInd w:val="0"/>
        <w:snapToGrid w:val="0"/>
        <w:spacing w:beforeLines="100" w:before="240" w:afterLines="100" w:after="240"/>
        <w:jc w:val="both"/>
        <w:rPr>
          <w:rFonts w:asciiTheme="minorHAnsi" w:hAnsiTheme="minorHAnsi" w:cstheme="minorHAnsi"/>
          <w:lang w:val="en-US" w:eastAsia="zh-CN"/>
        </w:rPr>
      </w:pPr>
      <w:r w:rsidRPr="004953F1">
        <w:rPr>
          <w:rFonts w:asciiTheme="minorHAnsi" w:hAnsiTheme="minorHAnsi" w:cstheme="minorHAnsi"/>
          <w:lang w:val="en-US" w:eastAsia="zh-CN"/>
        </w:rPr>
        <w:t xml:space="preserve">The statistics show that the age of ships with </w:t>
      </w:r>
      <w:r w:rsidRPr="004953F1">
        <w:rPr>
          <w:rFonts w:asciiTheme="minorHAnsi" w:hAnsiTheme="minorHAnsi" w:cstheme="minorHAnsi"/>
          <w:lang w:val="en-US" w:eastAsia="zh-CN"/>
        </w:rPr>
        <w:t>machinery</w:t>
      </w:r>
      <w:r w:rsidRPr="004953F1">
        <w:rPr>
          <w:rFonts w:asciiTheme="minorHAnsi" w:hAnsiTheme="minorHAnsi" w:cstheme="minorHAnsi"/>
          <w:lang w:val="en-US" w:eastAsia="zh-CN"/>
        </w:rPr>
        <w:t xml:space="preserve"> failure is distributed around 13-14 years. According to data from the United Nations Conference on Trade and Development (UNCTAD) in 2023, the average age of the global fleet has reached 18 years, with the average age of LNG ships exceeding 15 years, except for LNG ships</w:t>
      </w:r>
      <w:r w:rsidRPr="004953F1">
        <w:rPr>
          <w:rFonts w:asciiTheme="minorHAnsi" w:hAnsiTheme="minorHAnsi" w:cstheme="minorHAnsi"/>
          <w:lang w:val="en-US" w:eastAsia="zh-CN"/>
        </w:rPr>
        <w:t xml:space="preserve"> </w:t>
      </w:r>
      <w:r w:rsidRPr="004953F1">
        <w:rPr>
          <w:rFonts w:asciiTheme="minorHAnsi" w:hAnsiTheme="minorHAnsi" w:cstheme="minorHAnsi"/>
          <w:lang w:val="en-US" w:eastAsia="zh-CN"/>
        </w:rPr>
        <w:t>which have an average age of 12 years</w:t>
      </w:r>
      <w:r w:rsidRPr="004953F1">
        <w:rPr>
          <w:rStyle w:val="FootnoteReference"/>
          <w:rFonts w:asciiTheme="minorHAnsi" w:eastAsia="SimSun" w:hAnsiTheme="minorHAnsi" w:cstheme="minorHAnsi"/>
          <w:sz w:val="24"/>
          <w:szCs w:val="24"/>
          <w:vertAlign w:val="superscript"/>
          <w:lang w:val="en-US" w:eastAsia="zh-CN"/>
        </w:rPr>
        <w:footnoteReference w:id="4"/>
      </w:r>
      <w:r w:rsidRPr="004953F1">
        <w:rPr>
          <w:rFonts w:asciiTheme="minorHAnsi" w:hAnsiTheme="minorHAnsi" w:cstheme="minorHAnsi"/>
          <w:lang w:val="en-US" w:eastAsia="zh-CN"/>
        </w:rPr>
        <w:t xml:space="preserve">. </w:t>
      </w:r>
      <w:r w:rsidRPr="004953F1">
        <w:rPr>
          <w:rFonts w:asciiTheme="minorHAnsi" w:hAnsiTheme="minorHAnsi" w:cstheme="minorHAnsi"/>
          <w:lang w:val="en-US" w:eastAsia="zh-CN"/>
        </w:rPr>
        <w:t>According to the f</w:t>
      </w:r>
      <w:r w:rsidRPr="004953F1">
        <w:rPr>
          <w:rFonts w:asciiTheme="minorHAnsi" w:hAnsiTheme="minorHAnsi" w:cstheme="minorHAnsi"/>
          <w:lang w:val="en-US" w:eastAsia="zh-CN"/>
        </w:rPr>
        <w:t>ailure</w:t>
      </w:r>
      <w:r w:rsidRPr="004953F1">
        <w:rPr>
          <w:rFonts w:asciiTheme="minorHAnsi" w:hAnsiTheme="minorHAnsi" w:cstheme="minorHAnsi"/>
          <w:lang w:val="en-US" w:eastAsia="zh-CN"/>
        </w:rPr>
        <w:t xml:space="preserve"> information reported by the ship and the investigation by the maritime authorities, the </w:t>
      </w:r>
      <w:r w:rsidRPr="004953F1">
        <w:rPr>
          <w:rFonts w:asciiTheme="minorHAnsi" w:hAnsiTheme="minorHAnsi" w:cstheme="minorHAnsi"/>
          <w:lang w:val="en-US" w:eastAsia="zh-CN"/>
        </w:rPr>
        <w:t xml:space="preserve">underlying </w:t>
      </w:r>
      <w:r w:rsidRPr="004953F1">
        <w:rPr>
          <w:rFonts w:asciiTheme="minorHAnsi" w:hAnsiTheme="minorHAnsi" w:cstheme="minorHAnsi"/>
          <w:lang w:val="en-US" w:eastAsia="zh-CN"/>
        </w:rPr>
        <w:t xml:space="preserve">causes of </w:t>
      </w:r>
      <w:r w:rsidRPr="004953F1">
        <w:rPr>
          <w:rFonts w:asciiTheme="minorHAnsi" w:hAnsiTheme="minorHAnsi" w:cstheme="minorHAnsi"/>
          <w:lang w:val="en-US" w:eastAsia="zh-CN"/>
        </w:rPr>
        <w:t>machinery</w:t>
      </w:r>
      <w:r w:rsidRPr="004953F1">
        <w:rPr>
          <w:rFonts w:asciiTheme="minorHAnsi" w:hAnsiTheme="minorHAnsi" w:cstheme="minorHAnsi"/>
          <w:lang w:val="en-US" w:eastAsia="zh-CN"/>
        </w:rPr>
        <w:t xml:space="preserve"> failure of the ship in the port area</w:t>
      </w:r>
      <w:r w:rsidRPr="004953F1">
        <w:rPr>
          <w:rFonts w:asciiTheme="minorHAnsi" w:hAnsiTheme="minorHAnsi" w:cstheme="minorHAnsi"/>
          <w:lang w:val="en-US" w:eastAsia="zh-CN"/>
        </w:rPr>
        <w:t xml:space="preserve"> include</w:t>
      </w:r>
      <w:r w:rsidRPr="004953F1">
        <w:rPr>
          <w:rFonts w:asciiTheme="minorHAnsi" w:hAnsiTheme="minorHAnsi" w:cstheme="minorHAnsi"/>
          <w:lang w:val="en-US" w:eastAsia="zh-CN"/>
        </w:rPr>
        <w:t>, but are not limited to</w:t>
      </w:r>
      <w:r w:rsidRPr="004953F1">
        <w:rPr>
          <w:rFonts w:asciiTheme="minorHAnsi" w:hAnsiTheme="minorHAnsi" w:cstheme="minorHAnsi"/>
          <w:lang w:val="en-US" w:eastAsia="zh-CN"/>
        </w:rPr>
        <w:t>:</w:t>
      </w:r>
    </w:p>
    <w:p w14:paraId="70DE6F04"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eastAsia="SimSun" w:hAnsiTheme="minorHAnsi" w:cstheme="minorHAnsi"/>
          <w:lang w:val="en-US" w:eastAsia="zh-CN"/>
        </w:rPr>
        <w:t>●</w:t>
      </w:r>
      <w:r w:rsidRPr="004953F1">
        <w:rPr>
          <w:rFonts w:asciiTheme="minorHAnsi" w:hAnsiTheme="minorHAnsi" w:cstheme="minorHAnsi"/>
          <w:sz w:val="24"/>
          <w:szCs w:val="24"/>
          <w:lang w:val="en-US" w:eastAsia="zh-CN"/>
        </w:rPr>
        <w:t xml:space="preserve"> </w:t>
      </w:r>
      <w:r w:rsidRPr="004953F1">
        <w:rPr>
          <w:rFonts w:asciiTheme="minorHAnsi" w:hAnsiTheme="minorHAnsi" w:cstheme="minorHAnsi"/>
          <w:lang w:val="en-US" w:eastAsia="zh-CN"/>
        </w:rPr>
        <w:t>In response to the</w:t>
      </w:r>
      <w:r w:rsidRPr="004953F1">
        <w:rPr>
          <w:rFonts w:asciiTheme="minorHAnsi" w:hAnsiTheme="minorHAnsi" w:cstheme="minorHAnsi"/>
          <w:lang w:val="en-US" w:eastAsia="zh-CN"/>
        </w:rPr>
        <w:t xml:space="preserve"> competi</w:t>
      </w:r>
      <w:r w:rsidRPr="004953F1">
        <w:rPr>
          <w:rFonts w:asciiTheme="minorHAnsi" w:hAnsiTheme="minorHAnsi" w:cstheme="minorHAnsi"/>
          <w:lang w:val="en-US" w:eastAsia="zh-CN"/>
        </w:rPr>
        <w:t>tive pressures</w:t>
      </w:r>
      <w:r w:rsidRPr="004953F1">
        <w:rPr>
          <w:rFonts w:asciiTheme="minorHAnsi" w:hAnsiTheme="minorHAnsi" w:cstheme="minorHAnsi"/>
          <w:lang w:val="en-US" w:eastAsia="zh-CN"/>
        </w:rPr>
        <w:t xml:space="preserve"> in the shipping market, shipowners or ship companies </w:t>
      </w:r>
      <w:r w:rsidRPr="004953F1">
        <w:rPr>
          <w:rFonts w:asciiTheme="minorHAnsi" w:hAnsiTheme="minorHAnsi" w:cstheme="minorHAnsi"/>
          <w:lang w:val="en-US" w:eastAsia="zh-CN"/>
        </w:rPr>
        <w:t xml:space="preserve">increasingly prioritize cost-cutting in maintenance, leading to reduced willingness to perform necessary upkeep </w:t>
      </w:r>
      <w:r w:rsidRPr="004953F1">
        <w:rPr>
          <w:rFonts w:asciiTheme="minorHAnsi" w:hAnsiTheme="minorHAnsi" w:cstheme="minorHAnsi"/>
          <w:lang w:val="en-US" w:eastAsia="zh-CN"/>
        </w:rPr>
        <w:t xml:space="preserve">or update </w:t>
      </w:r>
      <w:r w:rsidRPr="004953F1">
        <w:rPr>
          <w:rFonts w:asciiTheme="minorHAnsi" w:hAnsiTheme="minorHAnsi" w:cstheme="minorHAnsi"/>
          <w:lang w:val="en-US" w:eastAsia="zh-CN"/>
        </w:rPr>
        <w:t>aging</w:t>
      </w:r>
      <w:r w:rsidRPr="004953F1">
        <w:rPr>
          <w:rFonts w:asciiTheme="minorHAnsi" w:hAnsiTheme="minorHAnsi" w:cstheme="minorHAnsi"/>
          <w:lang w:val="en-US" w:eastAsia="zh-CN"/>
        </w:rPr>
        <w:t xml:space="preserve"> equipment;</w:t>
      </w:r>
    </w:p>
    <w:p w14:paraId="70DE6F05"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sz w:val="24"/>
          <w:szCs w:val="24"/>
          <w:lang w:val="en-US" w:eastAsia="zh-CN"/>
        </w:rPr>
      </w:pPr>
      <w:r w:rsidRPr="004953F1">
        <w:rPr>
          <w:rFonts w:asciiTheme="minorHAnsi" w:eastAsia="SimSun" w:hAnsiTheme="minorHAnsi" w:cstheme="minorHAnsi"/>
          <w:lang w:val="en-US" w:eastAsia="zh-CN"/>
        </w:rPr>
        <w:t>●</w:t>
      </w:r>
      <w:r w:rsidRPr="004953F1">
        <w:rPr>
          <w:rFonts w:asciiTheme="minorHAnsi" w:hAnsiTheme="minorHAnsi" w:cstheme="minorHAnsi"/>
          <w:sz w:val="24"/>
          <w:szCs w:val="24"/>
          <w:lang w:val="en-US" w:eastAsia="zh-CN"/>
        </w:rPr>
        <w:t xml:space="preserve"> Crew selection by </w:t>
      </w:r>
      <w:r w:rsidRPr="004953F1">
        <w:rPr>
          <w:rFonts w:asciiTheme="minorHAnsi" w:hAnsiTheme="minorHAnsi" w:cstheme="minorHAnsi"/>
          <w:lang w:val="en-US" w:eastAsia="zh-CN"/>
        </w:rPr>
        <w:t>s</w:t>
      </w:r>
      <w:r w:rsidRPr="004953F1">
        <w:rPr>
          <w:rFonts w:asciiTheme="minorHAnsi" w:hAnsiTheme="minorHAnsi" w:cstheme="minorHAnsi"/>
          <w:lang w:val="en-US" w:eastAsia="zh-CN"/>
        </w:rPr>
        <w:t xml:space="preserve">hip companies or agents </w:t>
      </w:r>
      <w:r w:rsidRPr="004953F1">
        <w:rPr>
          <w:rFonts w:asciiTheme="minorHAnsi" w:hAnsiTheme="minorHAnsi" w:cstheme="minorHAnsi"/>
          <w:lang w:val="en-US" w:eastAsia="zh-CN"/>
        </w:rPr>
        <w:t>tends to focus excessively on minimizing</w:t>
      </w:r>
      <w:r w:rsidRPr="004953F1">
        <w:rPr>
          <w:rFonts w:asciiTheme="minorHAnsi" w:hAnsiTheme="minorHAnsi" w:cstheme="minorHAnsi"/>
          <w:lang w:val="en-US" w:eastAsia="zh-CN"/>
        </w:rPr>
        <w:t xml:space="preserve"> crew </w:t>
      </w:r>
      <w:r w:rsidRPr="004953F1">
        <w:rPr>
          <w:rFonts w:asciiTheme="minorHAnsi" w:hAnsiTheme="minorHAnsi" w:cstheme="minorHAnsi"/>
          <w:lang w:val="en-US" w:eastAsia="zh-CN"/>
        </w:rPr>
        <w:t xml:space="preserve">costs, overlooking </w:t>
      </w:r>
      <w:r w:rsidRPr="004953F1">
        <w:rPr>
          <w:rFonts w:asciiTheme="minorHAnsi" w:hAnsiTheme="minorHAnsi" w:cstheme="minorHAnsi"/>
          <w:lang w:val="en-US" w:eastAsia="zh-CN"/>
        </w:rPr>
        <w:t xml:space="preserve">the adverse effects of </w:t>
      </w:r>
      <w:r w:rsidRPr="004953F1">
        <w:rPr>
          <w:rFonts w:asciiTheme="minorHAnsi" w:hAnsiTheme="minorHAnsi" w:cstheme="minorHAnsi"/>
          <w:lang w:val="en-US" w:eastAsia="zh-CN"/>
        </w:rPr>
        <w:t>high crew turnover</w:t>
      </w:r>
      <w:r w:rsidRPr="004953F1">
        <w:rPr>
          <w:rFonts w:asciiTheme="minorHAnsi" w:hAnsiTheme="minorHAnsi" w:cstheme="minorHAnsi"/>
          <w:lang w:val="en-US" w:eastAsia="zh-CN"/>
        </w:rPr>
        <w:t>, such as a decrease in ship maintenance awareness and lack of proficiency in operating key equipment</w:t>
      </w:r>
      <w:r w:rsidRPr="004953F1">
        <w:rPr>
          <w:rFonts w:asciiTheme="minorHAnsi" w:hAnsiTheme="minorHAnsi" w:cstheme="minorHAnsi"/>
          <w:lang w:val="en-US" w:eastAsia="zh-CN"/>
        </w:rPr>
        <w:t>;</w:t>
      </w:r>
    </w:p>
    <w:p w14:paraId="70DE6F06"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eastAsia="SimSun" w:hAnsiTheme="minorHAnsi" w:cstheme="minorHAnsi"/>
          <w:lang w:val="en-US" w:eastAsia="zh-CN"/>
        </w:rPr>
        <w:t>●</w:t>
      </w:r>
      <w:r w:rsidRPr="004953F1">
        <w:rPr>
          <w:rFonts w:asciiTheme="minorHAnsi" w:hAnsiTheme="minorHAnsi" w:cstheme="minorHAnsi"/>
          <w:sz w:val="24"/>
          <w:szCs w:val="24"/>
          <w:lang w:val="en-US" w:eastAsia="zh-CN"/>
        </w:rPr>
        <w:t xml:space="preserve"> </w:t>
      </w:r>
      <w:r w:rsidRPr="004953F1">
        <w:rPr>
          <w:rFonts w:asciiTheme="minorHAnsi" w:hAnsiTheme="minorHAnsi" w:cstheme="minorHAnsi"/>
          <w:lang w:val="en-US" w:eastAsia="zh-CN"/>
        </w:rPr>
        <w:t>Due to the pressure during the voyage, the main machinery is not warmed up, checked and prepared enough before the ship leaves or enters the port.</w:t>
      </w:r>
    </w:p>
    <w:p w14:paraId="70DE6F07" w14:textId="77777777" w:rsidR="008119D7" w:rsidRPr="004953F1" w:rsidRDefault="00EF6EAC">
      <w:pPr>
        <w:widowControl w:val="0"/>
        <w:adjustRightInd w:val="0"/>
        <w:snapToGrid w:val="0"/>
        <w:jc w:val="both"/>
        <w:rPr>
          <w:rFonts w:asciiTheme="minorHAnsi" w:hAnsiTheme="minorHAnsi" w:cstheme="minorHAnsi"/>
          <w:lang w:val="en-US" w:eastAsia="zh-CN"/>
        </w:rPr>
      </w:pPr>
      <w:r w:rsidRPr="004953F1">
        <w:rPr>
          <w:rFonts w:asciiTheme="minorHAnsi" w:hAnsiTheme="minorHAnsi" w:cstheme="minorHAnsi"/>
          <w:lang w:val="en-US" w:eastAsia="zh-CN"/>
        </w:rPr>
        <w:t>In order to reduce the risk of ship machinery failures, as the competent authority of Port State government, China Maritime Administration has taken countermeasures based on the above reasons:</w:t>
      </w:r>
    </w:p>
    <w:p w14:paraId="70DE6F08"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hAnsiTheme="minorHAnsi" w:cstheme="minorHAnsi"/>
          <w:lang w:val="en-US" w:eastAsia="zh-CN"/>
        </w:rPr>
        <w:t>●</w:t>
      </w:r>
      <w:r w:rsidRPr="004953F1">
        <w:rPr>
          <w:rFonts w:asciiTheme="minorHAnsi" w:hAnsiTheme="minorHAnsi" w:cstheme="minorHAnsi"/>
          <w:lang w:val="en-US" w:eastAsia="zh-CN"/>
        </w:rPr>
        <w:t>Where multiple ship machinery failures occur within a fleet, the shipowner or ship company is required to review and improve the safety management system (SMS), focusing on ship maintenance, equipment updates, and crew management, to the satisfaction of the competent authority.</w:t>
      </w:r>
    </w:p>
    <w:p w14:paraId="70DE6F09" w14:textId="77777777" w:rsidR="008119D7" w:rsidRPr="004953F1" w:rsidRDefault="00EF6EAC">
      <w:pPr>
        <w:widowControl w:val="0"/>
        <w:adjustRightInd w:val="0"/>
        <w:snapToGrid w:val="0"/>
        <w:spacing w:afterLines="100" w:after="240"/>
        <w:ind w:firstLineChars="400" w:firstLine="880"/>
        <w:jc w:val="both"/>
        <w:rPr>
          <w:rFonts w:asciiTheme="minorHAnsi" w:hAnsiTheme="minorHAnsi" w:cstheme="minorHAnsi"/>
          <w:lang w:val="en-US" w:eastAsia="zh-CN"/>
        </w:rPr>
      </w:pPr>
      <w:r w:rsidRPr="004953F1">
        <w:rPr>
          <w:rFonts w:asciiTheme="minorHAnsi" w:eastAsia="SimSun" w:hAnsiTheme="minorHAnsi" w:cstheme="minorHAnsi"/>
          <w:lang w:val="en-US" w:eastAsia="zh-CN"/>
        </w:rPr>
        <w:t>●</w:t>
      </w:r>
      <w:r w:rsidRPr="004953F1">
        <w:rPr>
          <w:rFonts w:asciiTheme="minorHAnsi" w:eastAsia="SimSun" w:hAnsiTheme="minorHAnsi" w:cstheme="minorHAnsi"/>
          <w:lang w:val="en-US" w:eastAsia="zh-CN"/>
        </w:rPr>
        <w:t>Ships flying the flag of China are required to conduct pre-departure safety self-inspection using the "</w:t>
      </w:r>
      <w:r w:rsidRPr="004953F1">
        <w:rPr>
          <w:rFonts w:asciiTheme="minorHAnsi" w:hAnsiTheme="minorHAnsi" w:cstheme="minorHAnsi"/>
          <w:lang w:val="en-US" w:eastAsia="zh-CN"/>
        </w:rPr>
        <w:t>Safety self-inspection list of China-registered ships before sailing</w:t>
      </w:r>
      <w:r w:rsidRPr="004953F1">
        <w:rPr>
          <w:rFonts w:asciiTheme="minorHAnsi" w:eastAsia="SimSun" w:hAnsiTheme="minorHAnsi" w:cstheme="minorHAnsi"/>
          <w:lang w:val="en-US" w:eastAsia="zh-CN"/>
        </w:rPr>
        <w:t>", in order to reduce ship failures caused by human negligence. Additionally, ship agents are directed to carry out publicity to foreign ships intending to enter China, reminding the maintenance of machinery equipment and potential hazard check.</w:t>
      </w:r>
    </w:p>
    <w:p w14:paraId="70DE6F0A" w14:textId="77777777" w:rsidR="008119D7" w:rsidRPr="004953F1" w:rsidRDefault="00EF6EAC">
      <w:pPr>
        <w:pStyle w:val="Heading1"/>
        <w:numPr>
          <w:ilvl w:val="0"/>
          <w:numId w:val="0"/>
        </w:numPr>
        <w:rPr>
          <w:rFonts w:asciiTheme="minorHAnsi" w:hAnsiTheme="minorHAnsi" w:cstheme="minorHAnsi"/>
        </w:rPr>
      </w:pPr>
      <w:r w:rsidRPr="004953F1">
        <w:rPr>
          <w:rFonts w:asciiTheme="minorHAnsi" w:eastAsia="SimSun" w:hAnsiTheme="minorHAnsi" w:cstheme="minorHAnsi"/>
          <w:lang w:val="en-US" w:eastAsia="zh-CN"/>
        </w:rPr>
        <w:t xml:space="preserve">7    </w:t>
      </w:r>
      <w:r w:rsidRPr="004953F1">
        <w:rPr>
          <w:rFonts w:asciiTheme="minorHAnsi" w:hAnsiTheme="minorHAnsi" w:cstheme="minorHAnsi"/>
        </w:rPr>
        <w:t>Action requested of the Committee</w:t>
      </w:r>
    </w:p>
    <w:p w14:paraId="70DE6F0B" w14:textId="77777777" w:rsidR="008119D7" w:rsidRPr="004953F1" w:rsidRDefault="00EF6EAC">
      <w:pPr>
        <w:pStyle w:val="NormalWeb"/>
        <w:spacing w:line="315" w:lineRule="atLeast"/>
        <w:jc w:val="both"/>
        <w:rPr>
          <w:rFonts w:asciiTheme="minorHAnsi" w:eastAsia="SimSun" w:hAnsiTheme="minorHAnsi" w:cstheme="minorHAnsi"/>
          <w:sz w:val="22"/>
        </w:rPr>
      </w:pPr>
      <w:r w:rsidRPr="004953F1">
        <w:rPr>
          <w:rFonts w:asciiTheme="minorHAnsi" w:eastAsia="SimSun" w:hAnsiTheme="minorHAnsi" w:cstheme="minorHAnsi"/>
          <w:sz w:val="22"/>
        </w:rPr>
        <w:t>The committee is requested to:</w:t>
      </w:r>
    </w:p>
    <w:p w14:paraId="70DE6F0C" w14:textId="77777777" w:rsidR="008119D7" w:rsidRPr="004953F1" w:rsidRDefault="00EF6EAC">
      <w:pPr>
        <w:pStyle w:val="NormalWeb"/>
        <w:spacing w:line="315" w:lineRule="atLeast"/>
        <w:jc w:val="both"/>
        <w:rPr>
          <w:rFonts w:asciiTheme="minorHAnsi" w:eastAsia="SimSun" w:hAnsiTheme="minorHAnsi" w:cstheme="minorHAnsi"/>
          <w:sz w:val="22"/>
        </w:rPr>
      </w:pPr>
      <w:r w:rsidRPr="004953F1">
        <w:rPr>
          <w:rFonts w:asciiTheme="minorHAnsi" w:eastAsia="SimSun" w:hAnsiTheme="minorHAnsi" w:cstheme="minorHAnsi"/>
          <w:sz w:val="22"/>
        </w:rPr>
        <w:t>1 be aware of the trend of dangers and accidents in VTS waters due to ship machinery failure, and encourage States to share relevant reports or data to form a comprehensive report;</w:t>
      </w:r>
    </w:p>
    <w:p w14:paraId="70DE6F0D" w14:textId="77777777" w:rsidR="008119D7" w:rsidRPr="004953F1" w:rsidRDefault="00EF6EAC">
      <w:pPr>
        <w:pStyle w:val="NormalWeb"/>
        <w:spacing w:line="315" w:lineRule="atLeast"/>
        <w:jc w:val="both"/>
        <w:rPr>
          <w:rFonts w:asciiTheme="minorHAnsi" w:hAnsiTheme="minorHAnsi" w:cstheme="minorHAnsi"/>
          <w:lang w:eastAsia="en-US"/>
        </w:rPr>
      </w:pPr>
      <w:r w:rsidRPr="004953F1">
        <w:rPr>
          <w:rFonts w:asciiTheme="minorHAnsi" w:eastAsia="SimSun" w:hAnsiTheme="minorHAnsi" w:cstheme="minorHAnsi"/>
          <w:sz w:val="22"/>
        </w:rPr>
        <w:t>2 invite the Secretariat to note the information in this document, and prepare a comprehensive report to submit to IMO if necessary.</w:t>
      </w:r>
    </w:p>
    <w:sectPr w:rsidR="008119D7" w:rsidRPr="004953F1">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6F17" w14:textId="77777777" w:rsidR="00EF6EAC" w:rsidRDefault="00EF6EAC">
      <w:r>
        <w:separator/>
      </w:r>
    </w:p>
  </w:endnote>
  <w:endnote w:type="continuationSeparator" w:id="0">
    <w:p w14:paraId="70DE6F19" w14:textId="77777777" w:rsidR="00EF6EAC" w:rsidRDefault="00EF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6F13" w14:textId="77777777" w:rsidR="008119D7" w:rsidRDefault="00EF6EAC">
    <w:pPr>
      <w:pStyle w:val="NormalWeb"/>
      <w:spacing w:line="315" w:lineRule="atLeast"/>
      <w:jc w:val="both"/>
      <w:rPr>
        <w:rFonts w:ascii="Calibri" w:eastAsia="SimSun" w:hAnsi="Calibri" w:cs="Arial"/>
      </w:rPr>
    </w:pPr>
    <w:r>
      <w:rPr>
        <w:rFonts w:ascii="Calibri" w:eastAsia="SimSun" w:hAnsi="Calibri" w:cs="Arial" w:hint="eastAsia"/>
      </w:rPr>
      <w:t>Report of near misses and accidents related to machinery failure of vessels in VTS area</w:t>
    </w:r>
  </w:p>
  <w:p w14:paraId="70DE6F14" w14:textId="77777777" w:rsidR="008119D7" w:rsidRDefault="00EF6EAC">
    <w:pPr>
      <w:pStyle w:val="Footer"/>
      <w:rPr>
        <w:rFonts w:ascii="Calibri" w:hAnsi="Calibri"/>
      </w:rPr>
    </w:pPr>
    <w:r>
      <w:rPr>
        <w:rFonts w:ascii="Calibri" w:hAnsi="Calibri"/>
      </w:rPr>
      <w:tab/>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5</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6F10" w14:textId="77777777" w:rsidR="008119D7" w:rsidRDefault="00EF6EAC">
      <w:r>
        <w:separator/>
      </w:r>
    </w:p>
  </w:footnote>
  <w:footnote w:type="continuationSeparator" w:id="0">
    <w:p w14:paraId="70DE6F11" w14:textId="77777777" w:rsidR="008119D7" w:rsidRDefault="00EF6EAC">
      <w:r>
        <w:continuationSeparator/>
      </w:r>
    </w:p>
  </w:footnote>
  <w:footnote w:id="1">
    <w:p w14:paraId="70DE6F18" w14:textId="77777777" w:rsidR="008119D7" w:rsidRDefault="00EF6EAC">
      <w:pPr>
        <w:pStyle w:val="FootnoteText"/>
        <w:rPr>
          <w:lang w:val="en-US"/>
        </w:rPr>
      </w:pPr>
      <w:r>
        <w:rPr>
          <w:rStyle w:val="FootnoteReference"/>
        </w:rPr>
        <w:footnoteRef/>
      </w:r>
      <w:r>
        <w:t xml:space="preserve"> </w:t>
      </w:r>
      <w:r>
        <w:rPr>
          <w:sz w:val="16"/>
          <w:szCs w:val="16"/>
        </w:rPr>
        <w:t>Input document number, to be assigned by the Committee Secretary</w:t>
      </w:r>
    </w:p>
  </w:footnote>
  <w:footnote w:id="2">
    <w:p w14:paraId="70DE6F19" w14:textId="77777777" w:rsidR="008119D7" w:rsidRDefault="00EF6EAC">
      <w:pPr>
        <w:pStyle w:val="FootnoteText"/>
      </w:pPr>
      <w:r>
        <w:rPr>
          <w:rStyle w:val="FootnoteReference"/>
        </w:rPr>
        <w:footnoteRef/>
      </w:r>
      <w:r>
        <w:t xml:space="preserve"> </w:t>
      </w:r>
      <w:r>
        <w:rPr>
          <w:sz w:val="16"/>
          <w:szCs w:val="16"/>
        </w:rPr>
        <w:t>Leave open if uncertain</w:t>
      </w:r>
    </w:p>
  </w:footnote>
  <w:footnote w:id="3">
    <w:p w14:paraId="70DE6F1A" w14:textId="77777777" w:rsidR="008119D7" w:rsidRDefault="00EF6EAC">
      <w:pPr>
        <w:widowControl w:val="0"/>
        <w:adjustRightInd w:val="0"/>
        <w:snapToGrid w:val="0"/>
        <w:jc w:val="both"/>
        <w:rPr>
          <w:sz w:val="16"/>
          <w:szCs w:val="16"/>
          <w:lang w:val="en-US" w:eastAsia="zh-CN"/>
        </w:rPr>
      </w:pPr>
      <w:r>
        <w:rPr>
          <w:rStyle w:val="FootnoteReference"/>
          <w:rFonts w:cs="Times New Roman" w:hint="eastAsia"/>
          <w:lang w:val="en-US" w:eastAsia="zh-CN"/>
        </w:rPr>
        <w:t>3</w:t>
      </w:r>
      <w:r>
        <w:rPr>
          <w:rFonts w:cs="Times New Roman" w:hint="eastAsia"/>
          <w:lang w:val="en-US" w:eastAsia="zh-CN"/>
        </w:rPr>
        <w:t xml:space="preserve"> </w:t>
      </w:r>
      <w:r>
        <w:rPr>
          <w:rFonts w:hint="eastAsia"/>
          <w:sz w:val="16"/>
          <w:szCs w:val="16"/>
          <w:lang w:val="en-US" w:eastAsia="zh-CN"/>
        </w:rPr>
        <w:t>According to the statistics from the MAIB official website.https://maps.dft.gov.uk/maib-data-portal/web-pages/pbi_dashboard.html</w:t>
      </w:r>
    </w:p>
  </w:footnote>
  <w:footnote w:id="4">
    <w:p w14:paraId="70DE6F1B" w14:textId="77777777" w:rsidR="008119D7" w:rsidRDefault="00EF6EAC">
      <w:pPr>
        <w:pStyle w:val="FootnoteText"/>
        <w:tabs>
          <w:tab w:val="left" w:pos="567"/>
        </w:tabs>
        <w:snapToGrid w:val="0"/>
        <w:rPr>
          <w:sz w:val="16"/>
          <w:szCs w:val="16"/>
          <w:lang w:val="en-US" w:eastAsia="zh-CN"/>
        </w:rPr>
      </w:pPr>
      <w:r>
        <w:rPr>
          <w:rStyle w:val="FootnoteReference"/>
          <w:rFonts w:eastAsia="SimSun" w:cs="Times New Roman" w:hint="eastAsia"/>
          <w:szCs w:val="22"/>
          <w:lang w:val="en-US" w:eastAsia="zh-CN"/>
        </w:rPr>
        <w:footnoteRef/>
      </w:r>
      <w:r>
        <w:t xml:space="preserve"> </w:t>
      </w:r>
      <w:r>
        <w:rPr>
          <w:rFonts w:hint="eastAsia"/>
          <w:sz w:val="16"/>
          <w:szCs w:val="16"/>
          <w:lang w:val="en-US" w:eastAsia="zh-CN"/>
        </w:rPr>
        <w:t>Refer to</w:t>
      </w:r>
      <w:r>
        <w:rPr>
          <w:rFonts w:hint="eastAsia"/>
          <w:sz w:val="16"/>
          <w:szCs w:val="16"/>
          <w:lang w:val="en-US" w:eastAsia="zh-CN"/>
        </w:rPr>
        <w:t xml:space="preserve"> </w:t>
      </w:r>
      <w:r>
        <w:rPr>
          <w:rFonts w:hint="eastAsia"/>
          <w:sz w:val="16"/>
          <w:szCs w:val="16"/>
          <w:lang w:val="en-US" w:eastAsia="zh-CN"/>
        </w:rPr>
        <w:t>https://unctadstat.unctad.org/datacentre/dataviewer/US.PortCalls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6F12" w14:textId="6EE50052" w:rsidR="008119D7" w:rsidRDefault="00EF6EAC">
    <w:pPr>
      <w:pStyle w:val="Header"/>
      <w:jc w:val="right"/>
    </w:pPr>
    <w:r>
      <w:rPr>
        <w:noProof/>
      </w:rPr>
      <w:drawing>
        <wp:anchor distT="0" distB="0" distL="114300" distR="114300" simplePos="0" relativeHeight="251657216" behindDoc="0" locked="0" layoutInCell="1" allowOverlap="1" wp14:anchorId="70DE6F15" wp14:editId="70DE6F16">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33709720">
    <w:abstractNumId w:val="2"/>
  </w:num>
  <w:num w:numId="2" w16cid:durableId="1812557064">
    <w:abstractNumId w:val="12"/>
  </w:num>
  <w:num w:numId="3" w16cid:durableId="1061368138">
    <w:abstractNumId w:val="8"/>
  </w:num>
  <w:num w:numId="4" w16cid:durableId="2099206109">
    <w:abstractNumId w:val="1"/>
  </w:num>
  <w:num w:numId="5" w16cid:durableId="993869979">
    <w:abstractNumId w:val="14"/>
  </w:num>
  <w:num w:numId="6" w16cid:durableId="1236361849">
    <w:abstractNumId w:val="10"/>
  </w:num>
  <w:num w:numId="7" w16cid:durableId="75127097">
    <w:abstractNumId w:val="9"/>
  </w:num>
  <w:num w:numId="8" w16cid:durableId="341052007">
    <w:abstractNumId w:val="7"/>
  </w:num>
  <w:num w:numId="9" w16cid:durableId="1138304368">
    <w:abstractNumId w:val="13"/>
  </w:num>
  <w:num w:numId="10" w16cid:durableId="842281626">
    <w:abstractNumId w:val="6"/>
  </w:num>
  <w:num w:numId="11" w16cid:durableId="1458376670">
    <w:abstractNumId w:val="11"/>
  </w:num>
  <w:num w:numId="12" w16cid:durableId="1702121086">
    <w:abstractNumId w:val="3"/>
  </w:num>
  <w:num w:numId="13" w16cid:durableId="35158303">
    <w:abstractNumId w:val="4"/>
  </w:num>
  <w:num w:numId="14" w16cid:durableId="1283732071">
    <w:abstractNumId w:val="5"/>
  </w:num>
  <w:num w:numId="15" w16cid:durableId="56167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HorizontalSpacing w:val="120"/>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jZjk0NDQzOWFhMmQ0NzQyZDAzNDdiMGIzNWYzMzQifQ=="/>
  </w:docVars>
  <w:rsids>
    <w:rsidRoot w:val="00FE5674"/>
    <w:rsid w:val="000005D3"/>
    <w:rsid w:val="000049D8"/>
    <w:rsid w:val="00036A03"/>
    <w:rsid w:val="00036B9E"/>
    <w:rsid w:val="00037DF4"/>
    <w:rsid w:val="0004700E"/>
    <w:rsid w:val="00070C13"/>
    <w:rsid w:val="000715C9"/>
    <w:rsid w:val="00084F33"/>
    <w:rsid w:val="000A2309"/>
    <w:rsid w:val="000A77A7"/>
    <w:rsid w:val="000B1707"/>
    <w:rsid w:val="000C1B3E"/>
    <w:rsid w:val="000C349E"/>
    <w:rsid w:val="000F2584"/>
    <w:rsid w:val="000F72BA"/>
    <w:rsid w:val="00110AE7"/>
    <w:rsid w:val="00110C3F"/>
    <w:rsid w:val="00146E5F"/>
    <w:rsid w:val="00177F4D"/>
    <w:rsid w:val="00180DDA"/>
    <w:rsid w:val="001B2A2D"/>
    <w:rsid w:val="001B737D"/>
    <w:rsid w:val="001C44A3"/>
    <w:rsid w:val="001E0E15"/>
    <w:rsid w:val="001F528A"/>
    <w:rsid w:val="001F704E"/>
    <w:rsid w:val="00200241"/>
    <w:rsid w:val="00201722"/>
    <w:rsid w:val="00206056"/>
    <w:rsid w:val="002125B0"/>
    <w:rsid w:val="00215BC5"/>
    <w:rsid w:val="002173E4"/>
    <w:rsid w:val="00243228"/>
    <w:rsid w:val="00247C5E"/>
    <w:rsid w:val="00251483"/>
    <w:rsid w:val="00255CAA"/>
    <w:rsid w:val="00264305"/>
    <w:rsid w:val="002A0346"/>
    <w:rsid w:val="002A4487"/>
    <w:rsid w:val="002A6B43"/>
    <w:rsid w:val="002B49E9"/>
    <w:rsid w:val="002C632E"/>
    <w:rsid w:val="002D3E8B"/>
    <w:rsid w:val="002D4575"/>
    <w:rsid w:val="002D5C0C"/>
    <w:rsid w:val="002E03D1"/>
    <w:rsid w:val="002E6B74"/>
    <w:rsid w:val="002E6FCA"/>
    <w:rsid w:val="003039D6"/>
    <w:rsid w:val="00356CD0"/>
    <w:rsid w:val="00362CD9"/>
    <w:rsid w:val="003761CA"/>
    <w:rsid w:val="0037666B"/>
    <w:rsid w:val="00380DAF"/>
    <w:rsid w:val="003972CE"/>
    <w:rsid w:val="003B28F5"/>
    <w:rsid w:val="003B7B7D"/>
    <w:rsid w:val="003C54CB"/>
    <w:rsid w:val="003C7A2A"/>
    <w:rsid w:val="003D2DC1"/>
    <w:rsid w:val="003D69D0"/>
    <w:rsid w:val="003D7EE4"/>
    <w:rsid w:val="003F2918"/>
    <w:rsid w:val="003F430E"/>
    <w:rsid w:val="0041088C"/>
    <w:rsid w:val="00412DD0"/>
    <w:rsid w:val="0041482C"/>
    <w:rsid w:val="00420A38"/>
    <w:rsid w:val="00431B19"/>
    <w:rsid w:val="00432203"/>
    <w:rsid w:val="004661AD"/>
    <w:rsid w:val="004953F1"/>
    <w:rsid w:val="004A6C1D"/>
    <w:rsid w:val="004D1D85"/>
    <w:rsid w:val="004D3C3A"/>
    <w:rsid w:val="004E1CD1"/>
    <w:rsid w:val="004F7EFC"/>
    <w:rsid w:val="005107EB"/>
    <w:rsid w:val="00521345"/>
    <w:rsid w:val="00526DF0"/>
    <w:rsid w:val="00545CC4"/>
    <w:rsid w:val="00551FFF"/>
    <w:rsid w:val="005607A2"/>
    <w:rsid w:val="00566F6D"/>
    <w:rsid w:val="0057198B"/>
    <w:rsid w:val="00573CFE"/>
    <w:rsid w:val="00590E05"/>
    <w:rsid w:val="005969F2"/>
    <w:rsid w:val="00597FAE"/>
    <w:rsid w:val="005B32A3"/>
    <w:rsid w:val="005C0D44"/>
    <w:rsid w:val="005C2079"/>
    <w:rsid w:val="005C566C"/>
    <w:rsid w:val="005C7E69"/>
    <w:rsid w:val="005E262D"/>
    <w:rsid w:val="005F23D3"/>
    <w:rsid w:val="005F7E20"/>
    <w:rsid w:val="00605E43"/>
    <w:rsid w:val="006153BB"/>
    <w:rsid w:val="00624475"/>
    <w:rsid w:val="006652C3"/>
    <w:rsid w:val="00691FD0"/>
    <w:rsid w:val="00692148"/>
    <w:rsid w:val="006A1A1E"/>
    <w:rsid w:val="006C5948"/>
    <w:rsid w:val="006F2A74"/>
    <w:rsid w:val="006F3FA2"/>
    <w:rsid w:val="007000D4"/>
    <w:rsid w:val="007118F5"/>
    <w:rsid w:val="00712AA4"/>
    <w:rsid w:val="007146C4"/>
    <w:rsid w:val="00721AA1"/>
    <w:rsid w:val="00724B67"/>
    <w:rsid w:val="00724BD7"/>
    <w:rsid w:val="007547F8"/>
    <w:rsid w:val="00756B96"/>
    <w:rsid w:val="00765622"/>
    <w:rsid w:val="00770B6C"/>
    <w:rsid w:val="00783FEA"/>
    <w:rsid w:val="00787AB6"/>
    <w:rsid w:val="007A395D"/>
    <w:rsid w:val="007B6BD5"/>
    <w:rsid w:val="007C346C"/>
    <w:rsid w:val="007E6479"/>
    <w:rsid w:val="0080294B"/>
    <w:rsid w:val="008119D7"/>
    <w:rsid w:val="0082480E"/>
    <w:rsid w:val="00850293"/>
    <w:rsid w:val="00851373"/>
    <w:rsid w:val="00851BA6"/>
    <w:rsid w:val="0085654D"/>
    <w:rsid w:val="00861160"/>
    <w:rsid w:val="0086654F"/>
    <w:rsid w:val="00894078"/>
    <w:rsid w:val="008A356F"/>
    <w:rsid w:val="008A4653"/>
    <w:rsid w:val="008A4717"/>
    <w:rsid w:val="008A50CC"/>
    <w:rsid w:val="008B3040"/>
    <w:rsid w:val="008C51F1"/>
    <w:rsid w:val="008D1694"/>
    <w:rsid w:val="008D79CB"/>
    <w:rsid w:val="008F07BC"/>
    <w:rsid w:val="0092692B"/>
    <w:rsid w:val="00930561"/>
    <w:rsid w:val="00943E9C"/>
    <w:rsid w:val="00953F4D"/>
    <w:rsid w:val="00960BB8"/>
    <w:rsid w:val="00964F5C"/>
    <w:rsid w:val="009709DA"/>
    <w:rsid w:val="00973B57"/>
    <w:rsid w:val="00975900"/>
    <w:rsid w:val="009831C0"/>
    <w:rsid w:val="0099161D"/>
    <w:rsid w:val="00A0389B"/>
    <w:rsid w:val="00A33A3C"/>
    <w:rsid w:val="00A43168"/>
    <w:rsid w:val="00A446C9"/>
    <w:rsid w:val="00A56912"/>
    <w:rsid w:val="00A635D6"/>
    <w:rsid w:val="00A8553A"/>
    <w:rsid w:val="00A93AED"/>
    <w:rsid w:val="00AE1319"/>
    <w:rsid w:val="00AE34BB"/>
    <w:rsid w:val="00B226F2"/>
    <w:rsid w:val="00B274DF"/>
    <w:rsid w:val="00B2773F"/>
    <w:rsid w:val="00B56BDF"/>
    <w:rsid w:val="00B65812"/>
    <w:rsid w:val="00B85CD6"/>
    <w:rsid w:val="00B90A27"/>
    <w:rsid w:val="00B9554D"/>
    <w:rsid w:val="00BB2B9F"/>
    <w:rsid w:val="00BB7D9E"/>
    <w:rsid w:val="00BC2334"/>
    <w:rsid w:val="00BD3CB8"/>
    <w:rsid w:val="00BD4E6F"/>
    <w:rsid w:val="00BF32F0"/>
    <w:rsid w:val="00BF4DCE"/>
    <w:rsid w:val="00C05CE5"/>
    <w:rsid w:val="00C502C1"/>
    <w:rsid w:val="00C6171E"/>
    <w:rsid w:val="00CA6F2C"/>
    <w:rsid w:val="00CD6A13"/>
    <w:rsid w:val="00CF1871"/>
    <w:rsid w:val="00D01874"/>
    <w:rsid w:val="00D019CE"/>
    <w:rsid w:val="00D1133E"/>
    <w:rsid w:val="00D17A34"/>
    <w:rsid w:val="00D26628"/>
    <w:rsid w:val="00D332B3"/>
    <w:rsid w:val="00D4220A"/>
    <w:rsid w:val="00D55207"/>
    <w:rsid w:val="00D81801"/>
    <w:rsid w:val="00D92B45"/>
    <w:rsid w:val="00D95962"/>
    <w:rsid w:val="00DC389B"/>
    <w:rsid w:val="00DE2FEE"/>
    <w:rsid w:val="00DF1467"/>
    <w:rsid w:val="00DF56A1"/>
    <w:rsid w:val="00E00BE9"/>
    <w:rsid w:val="00E22A11"/>
    <w:rsid w:val="00E31E5C"/>
    <w:rsid w:val="00E44DD2"/>
    <w:rsid w:val="00E558C3"/>
    <w:rsid w:val="00E55927"/>
    <w:rsid w:val="00E60540"/>
    <w:rsid w:val="00E912A6"/>
    <w:rsid w:val="00EA4844"/>
    <w:rsid w:val="00EA4D9C"/>
    <w:rsid w:val="00EA5A97"/>
    <w:rsid w:val="00EB2248"/>
    <w:rsid w:val="00EB75EE"/>
    <w:rsid w:val="00EE33AF"/>
    <w:rsid w:val="00EE3CC5"/>
    <w:rsid w:val="00EE4C1D"/>
    <w:rsid w:val="00EF3685"/>
    <w:rsid w:val="00EF6EAC"/>
    <w:rsid w:val="00F04350"/>
    <w:rsid w:val="00F133DB"/>
    <w:rsid w:val="00F159EB"/>
    <w:rsid w:val="00F25BF4"/>
    <w:rsid w:val="00F267DB"/>
    <w:rsid w:val="00F46F6F"/>
    <w:rsid w:val="00F60608"/>
    <w:rsid w:val="00F62217"/>
    <w:rsid w:val="00FB17A9"/>
    <w:rsid w:val="00FB527C"/>
    <w:rsid w:val="00FB6F75"/>
    <w:rsid w:val="00FC0EB3"/>
    <w:rsid w:val="00FD675E"/>
    <w:rsid w:val="00FE5674"/>
    <w:rsid w:val="01814D3C"/>
    <w:rsid w:val="03D7635F"/>
    <w:rsid w:val="0491627C"/>
    <w:rsid w:val="062956B3"/>
    <w:rsid w:val="067654D1"/>
    <w:rsid w:val="09517754"/>
    <w:rsid w:val="0ACA0820"/>
    <w:rsid w:val="0B6F5085"/>
    <w:rsid w:val="0C98084C"/>
    <w:rsid w:val="0D7F3E0A"/>
    <w:rsid w:val="0EB376AE"/>
    <w:rsid w:val="0ED854FD"/>
    <w:rsid w:val="0F9A2FB7"/>
    <w:rsid w:val="108C51BC"/>
    <w:rsid w:val="11812847"/>
    <w:rsid w:val="15622DB7"/>
    <w:rsid w:val="15FF4781"/>
    <w:rsid w:val="17325354"/>
    <w:rsid w:val="1737030B"/>
    <w:rsid w:val="1B326960"/>
    <w:rsid w:val="1B522B5E"/>
    <w:rsid w:val="1B6524A5"/>
    <w:rsid w:val="1C2362A8"/>
    <w:rsid w:val="1D8F1E47"/>
    <w:rsid w:val="1E406104"/>
    <w:rsid w:val="1FC107E4"/>
    <w:rsid w:val="205C3F3A"/>
    <w:rsid w:val="205F3B78"/>
    <w:rsid w:val="20CC33B3"/>
    <w:rsid w:val="20DF4E94"/>
    <w:rsid w:val="21556F04"/>
    <w:rsid w:val="223C6121"/>
    <w:rsid w:val="228770EB"/>
    <w:rsid w:val="236C474D"/>
    <w:rsid w:val="23EB1DA2"/>
    <w:rsid w:val="24BC54EC"/>
    <w:rsid w:val="24D70E35"/>
    <w:rsid w:val="26976211"/>
    <w:rsid w:val="290130C6"/>
    <w:rsid w:val="2B4D4A0F"/>
    <w:rsid w:val="2D527FC6"/>
    <w:rsid w:val="2FBE25F2"/>
    <w:rsid w:val="31183E5E"/>
    <w:rsid w:val="311C4F78"/>
    <w:rsid w:val="31660CB9"/>
    <w:rsid w:val="319677F1"/>
    <w:rsid w:val="31CC1C06"/>
    <w:rsid w:val="33735EF8"/>
    <w:rsid w:val="339C2C0F"/>
    <w:rsid w:val="35634AD1"/>
    <w:rsid w:val="35DF75C0"/>
    <w:rsid w:val="37AF3264"/>
    <w:rsid w:val="38DD781A"/>
    <w:rsid w:val="39B1371B"/>
    <w:rsid w:val="3B471B5C"/>
    <w:rsid w:val="3EDE6FB9"/>
    <w:rsid w:val="40512B35"/>
    <w:rsid w:val="40FA6DCC"/>
    <w:rsid w:val="413F7D64"/>
    <w:rsid w:val="41C946BB"/>
    <w:rsid w:val="454B049A"/>
    <w:rsid w:val="45D3296A"/>
    <w:rsid w:val="478D6B48"/>
    <w:rsid w:val="4799729B"/>
    <w:rsid w:val="488C5052"/>
    <w:rsid w:val="495A4E73"/>
    <w:rsid w:val="4A226BB3"/>
    <w:rsid w:val="4A6022F2"/>
    <w:rsid w:val="4B1A2F37"/>
    <w:rsid w:val="4C2C4B82"/>
    <w:rsid w:val="4CF732BC"/>
    <w:rsid w:val="50C35389"/>
    <w:rsid w:val="54044563"/>
    <w:rsid w:val="549C486F"/>
    <w:rsid w:val="55474CBC"/>
    <w:rsid w:val="564E7DEA"/>
    <w:rsid w:val="574C432A"/>
    <w:rsid w:val="58CA7BFC"/>
    <w:rsid w:val="597638E0"/>
    <w:rsid w:val="598E5CDE"/>
    <w:rsid w:val="5A5F7708"/>
    <w:rsid w:val="5DB33720"/>
    <w:rsid w:val="62141EE8"/>
    <w:rsid w:val="623600B0"/>
    <w:rsid w:val="63153EC7"/>
    <w:rsid w:val="63785CD6"/>
    <w:rsid w:val="65431C0B"/>
    <w:rsid w:val="67A05FCC"/>
    <w:rsid w:val="69201173"/>
    <w:rsid w:val="69A753F0"/>
    <w:rsid w:val="6AB838E4"/>
    <w:rsid w:val="6D2351EF"/>
    <w:rsid w:val="6EE378F6"/>
    <w:rsid w:val="701C781D"/>
    <w:rsid w:val="707712F4"/>
    <w:rsid w:val="715220E5"/>
    <w:rsid w:val="720311B3"/>
    <w:rsid w:val="72511C73"/>
    <w:rsid w:val="73F56B61"/>
    <w:rsid w:val="748A1372"/>
    <w:rsid w:val="76A72ED3"/>
    <w:rsid w:val="781A0D06"/>
    <w:rsid w:val="794E6715"/>
    <w:rsid w:val="79BC0A44"/>
    <w:rsid w:val="7A0406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4"/>
    </o:shapelayout>
  </w:shapeDefaults>
  <w:decimalSymbol w:val="."/>
  <w:listSeparator w:val=","/>
  <w14:docId w14:val="70DE6ED8"/>
  <w15:docId w15:val="{3BCFAF13-D46F-4C0B-8106-55FB0BA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eastAsia="Calibri" w:hAnsi="Arial" w:cs="Calibri"/>
      <w:sz w:val="22"/>
      <w:szCs w:val="22"/>
    </w:rPr>
  </w:style>
  <w:style w:type="paragraph" w:styleId="Heading1">
    <w:name w:val="heading 1"/>
    <w:basedOn w:val="Normal"/>
    <w:next w:val="BodyText"/>
    <w:link w:val="Heading1Char"/>
    <w:autoRedefine/>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autoRedefine/>
    <w:qFormat/>
    <w:pPr>
      <w:numPr>
        <w:ilvl w:val="1"/>
        <w:numId w:val="1"/>
      </w:numPr>
      <w:spacing w:before="120" w:after="120"/>
      <w:outlineLvl w:val="1"/>
    </w:pPr>
    <w:rPr>
      <w:rFonts w:ascii="Calibri" w:hAnsi="Calibri"/>
      <w:color w:val="0070C0"/>
      <w:sz w:val="24"/>
      <w:szCs w:val="24"/>
    </w:rPr>
  </w:style>
  <w:style w:type="paragraph" w:styleId="Heading3">
    <w:name w:val="heading 3"/>
    <w:basedOn w:val="Normal"/>
    <w:next w:val="BodyText"/>
    <w:link w:val="Heading3Char"/>
    <w:autoRedefine/>
    <w:qFormat/>
    <w:pPr>
      <w:keepNext/>
      <w:numPr>
        <w:ilvl w:val="2"/>
        <w:numId w:val="1"/>
      </w:numPr>
      <w:spacing w:before="120" w:after="120"/>
      <w:outlineLvl w:val="2"/>
    </w:pPr>
    <w:rPr>
      <w:szCs w:val="20"/>
      <w:lang w:eastAsia="de-DE"/>
    </w:rPr>
  </w:style>
  <w:style w:type="paragraph" w:styleId="Heading4">
    <w:name w:val="heading 4"/>
    <w:basedOn w:val="Normal"/>
    <w:next w:val="BodyTextIndent"/>
    <w:link w:val="Heading4Char"/>
    <w:autoRedefine/>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autoRedefine/>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autoRedefine/>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autoRedefine/>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autoRedefine/>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autoRedefine/>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pPr>
      <w:spacing w:after="120"/>
      <w:jc w:val="both"/>
    </w:pPr>
  </w:style>
  <w:style w:type="paragraph" w:styleId="BodyTextIndent">
    <w:name w:val="Body Text Indent"/>
    <w:basedOn w:val="Normal"/>
    <w:link w:val="BodyTextIndentChar"/>
    <w:autoRedefine/>
    <w:qFormat/>
    <w:pPr>
      <w:spacing w:after="120"/>
      <w:ind w:left="567"/>
    </w:pPr>
  </w:style>
  <w:style w:type="paragraph" w:styleId="BodyTextIndent2">
    <w:name w:val="Body Text Indent 2"/>
    <w:basedOn w:val="Normal"/>
    <w:link w:val="BodyTextIndent2Char"/>
    <w:autoRedefine/>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autoRedefine/>
    <w:uiPriority w:val="99"/>
    <w:semiHidden/>
    <w:unhideWhenUsed/>
    <w:qFormat/>
    <w:rPr>
      <w:sz w:val="20"/>
      <w:szCs w:val="20"/>
    </w:rPr>
  </w:style>
  <w:style w:type="paragraph" w:styleId="TOC5">
    <w:name w:val="toc 5"/>
    <w:basedOn w:val="Normal"/>
    <w:next w:val="Normal"/>
    <w:autoRedefine/>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autoRedefine/>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autoRedefine/>
    <w:semiHidden/>
    <w:qFormat/>
    <w:pPr>
      <w:ind w:left="1440"/>
    </w:pPr>
    <w:rPr>
      <w:sz w:val="20"/>
      <w:szCs w:val="20"/>
    </w:rPr>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qFormat/>
    <w:pPr>
      <w:tabs>
        <w:tab w:val="center" w:pos="4820"/>
        <w:tab w:val="right" w:pos="9639"/>
      </w:tabs>
    </w:pPr>
  </w:style>
  <w:style w:type="paragraph" w:styleId="Header">
    <w:name w:val="header"/>
    <w:basedOn w:val="Normal"/>
    <w:link w:val="HeaderChar"/>
    <w:autoRedefine/>
    <w:qFormat/>
    <w:pPr>
      <w:tabs>
        <w:tab w:val="center" w:pos="4820"/>
        <w:tab w:val="right" w:pos="9639"/>
      </w:tabs>
    </w:pPr>
  </w:style>
  <w:style w:type="paragraph" w:styleId="TOC1">
    <w:name w:val="toc 1"/>
    <w:basedOn w:val="Normal"/>
    <w:next w:val="Normal"/>
    <w:autoRedefine/>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autoRedefine/>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autoRedefine/>
    <w:qFormat/>
    <w:pPr>
      <w:spacing w:after="60"/>
      <w:jc w:val="center"/>
      <w:outlineLvl w:val="1"/>
    </w:pPr>
    <w:rPr>
      <w:rFonts w:cs="Arial"/>
    </w:rPr>
  </w:style>
  <w:style w:type="paragraph" w:styleId="FootnoteText">
    <w:name w:val="footnote text"/>
    <w:basedOn w:val="Normal"/>
    <w:link w:val="FootnoteTextChar"/>
    <w:autoRedefine/>
    <w:semiHidden/>
    <w:qFormat/>
    <w:rPr>
      <w:sz w:val="20"/>
      <w:szCs w:val="20"/>
    </w:rPr>
  </w:style>
  <w:style w:type="paragraph" w:styleId="TOC6">
    <w:name w:val="toc 6"/>
    <w:basedOn w:val="Normal"/>
    <w:next w:val="Normal"/>
    <w:autoRedefine/>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autoRedefine/>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autoRedefine/>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autoRedefine/>
    <w:semiHidden/>
    <w:qFormat/>
    <w:pPr>
      <w:ind w:left="1680"/>
    </w:pPr>
    <w:rPr>
      <w:sz w:val="20"/>
      <w:szCs w:val="20"/>
    </w:rPr>
  </w:style>
  <w:style w:type="paragraph" w:styleId="NormalWeb">
    <w:name w:val="Normal (Web)"/>
    <w:basedOn w:val="Normal"/>
    <w:qFormat/>
    <w:pPr>
      <w:tabs>
        <w:tab w:val="left" w:pos="851"/>
      </w:tabs>
      <w:spacing w:beforeAutospacing="1" w:afterAutospacing="1"/>
    </w:pPr>
    <w:rPr>
      <w:rFonts w:cs="Times New Roman"/>
      <w:sz w:val="24"/>
      <w:lang w:val="en-US" w:eastAsia="zh-CN"/>
    </w:rPr>
  </w:style>
  <w:style w:type="paragraph" w:styleId="Title">
    <w:name w:val="Title"/>
    <w:basedOn w:val="Normal"/>
    <w:link w:val="TitleChar"/>
    <w:autoRedefine/>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autoRedefine/>
    <w:qFormat/>
  </w:style>
  <w:style w:type="character" w:styleId="Emphasis">
    <w:name w:val="Emphasis"/>
    <w:basedOn w:val="DefaultParagraphFont"/>
    <w:uiPriority w:val="20"/>
    <w:qFormat/>
    <w:rPr>
      <w:i/>
    </w:rPr>
  </w:style>
  <w:style w:type="character" w:styleId="Hyperlink">
    <w:name w:val="Hyperlink"/>
    <w:basedOn w:val="DefaultParagraphFont"/>
    <w:autoRedefine/>
    <w:uiPriority w:val="99"/>
    <w:qFormat/>
    <w:rPr>
      <w:vertAlign w:val="baselin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autoRedefine/>
    <w:semiHidden/>
    <w:qFormat/>
    <w:rPr>
      <w:rFonts w:ascii="Arial" w:hAnsi="Arial"/>
      <w:sz w:val="16"/>
    </w:rPr>
  </w:style>
  <w:style w:type="paragraph" w:customStyle="1" w:styleId="Heading1separationline">
    <w:name w:val="Heading 1 separation line"/>
    <w:basedOn w:val="Normal"/>
    <w:next w:val="BodyText"/>
    <w:link w:val="Heading1separationlineChar"/>
    <w:autoRedefine/>
    <w:qFormat/>
    <w:pPr>
      <w:pBdr>
        <w:bottom w:val="single" w:sz="8" w:space="1" w:color="4F81BD" w:themeColor="accent1"/>
      </w:pBdr>
      <w:spacing w:after="120" w:line="90" w:lineRule="exact"/>
      <w:ind w:right="8789"/>
    </w:pPr>
    <w:rPr>
      <w:color w:val="000000" w:themeColor="text1"/>
    </w:rPr>
  </w:style>
  <w:style w:type="paragraph" w:customStyle="1" w:styleId="Heading2separationline">
    <w:name w:val="Heading 2 separation line"/>
    <w:basedOn w:val="Normal"/>
    <w:next w:val="BodyText"/>
    <w:autoRedefine/>
    <w:qFormat/>
    <w:pPr>
      <w:pBdr>
        <w:bottom w:val="single" w:sz="4" w:space="1" w:color="575756"/>
      </w:pBdr>
      <w:spacing w:after="60" w:line="110" w:lineRule="exact"/>
      <w:ind w:right="8787"/>
    </w:pPr>
    <w:rPr>
      <w:color w:val="000000" w:themeColor="text1"/>
    </w:rPr>
  </w:style>
  <w:style w:type="character" w:customStyle="1" w:styleId="Heading1Char">
    <w:name w:val="Heading 1 Char"/>
    <w:link w:val="Heading1"/>
    <w:autoRedefine/>
    <w:qFormat/>
    <w:rPr>
      <w:rFonts w:cs="Calibri"/>
      <w:b/>
      <w:caps/>
      <w:color w:val="0070C0"/>
      <w:kern w:val="28"/>
      <w:sz w:val="24"/>
      <w:szCs w:val="22"/>
      <w:lang w:eastAsia="de-DE"/>
    </w:rPr>
  </w:style>
  <w:style w:type="character" w:customStyle="1" w:styleId="Heading2Char">
    <w:name w:val="Heading 2 Char"/>
    <w:link w:val="Heading2"/>
    <w:autoRedefine/>
    <w:qFormat/>
    <w:rPr>
      <w:rFonts w:cs="Calibri"/>
      <w:b/>
      <w:color w:val="0070C0"/>
      <w:sz w:val="24"/>
      <w:szCs w:val="24"/>
    </w:rPr>
  </w:style>
  <w:style w:type="paragraph" w:customStyle="1" w:styleId="Annex">
    <w:name w:val="Annex"/>
    <w:basedOn w:val="Heading1"/>
    <w:next w:val="Normal"/>
    <w:autoRedefine/>
    <w:qFormat/>
    <w:pPr>
      <w:numPr>
        <w:numId w:val="2"/>
      </w:numPr>
      <w:tabs>
        <w:tab w:val="left" w:pos="1701"/>
      </w:tabs>
      <w:jc w:val="both"/>
    </w:pPr>
    <w:rPr>
      <w:snapToGrid w:val="0"/>
      <w:kern w:val="0"/>
      <w:lang w:eastAsia="en-GB"/>
    </w:rPr>
  </w:style>
  <w:style w:type="paragraph" w:customStyle="1" w:styleId="AnnexFigure">
    <w:name w:val="Annex Figure"/>
    <w:basedOn w:val="Normal"/>
    <w:next w:val="Normal"/>
    <w:autoRedefine/>
    <w:qFormat/>
    <w:pPr>
      <w:numPr>
        <w:numId w:val="3"/>
      </w:numPr>
      <w:spacing w:before="120" w:after="120"/>
      <w:jc w:val="center"/>
    </w:pPr>
    <w:rPr>
      <w:i/>
    </w:rPr>
  </w:style>
  <w:style w:type="paragraph" w:customStyle="1" w:styleId="AnnexHeading1">
    <w:name w:val="Annex Heading 1"/>
    <w:basedOn w:val="Normal"/>
    <w:next w:val="BodyText"/>
    <w:autoRedefine/>
    <w:qFormat/>
    <w:pPr>
      <w:numPr>
        <w:numId w:val="4"/>
      </w:numPr>
      <w:spacing w:before="120" w:after="120"/>
    </w:pPr>
    <w:rPr>
      <w:rFonts w:cs="Arial"/>
      <w:b/>
      <w:caps/>
      <w:sz w:val="24"/>
    </w:rPr>
  </w:style>
  <w:style w:type="paragraph" w:customStyle="1" w:styleId="AnnexHeading2">
    <w:name w:val="Annex Heading 2"/>
    <w:basedOn w:val="Normal"/>
    <w:next w:val="BodyText"/>
    <w:autoRedefine/>
    <w:qFormat/>
    <w:pPr>
      <w:numPr>
        <w:ilvl w:val="1"/>
        <w:numId w:val="4"/>
      </w:numPr>
      <w:spacing w:before="120" w:after="120"/>
    </w:pPr>
    <w:rPr>
      <w:rFonts w:cs="Arial"/>
      <w:b/>
    </w:rPr>
  </w:style>
  <w:style w:type="paragraph" w:customStyle="1" w:styleId="AnnexHeading3">
    <w:name w:val="Annex Heading 3"/>
    <w:basedOn w:val="Normal"/>
    <w:next w:val="Normal"/>
    <w:autoRedefine/>
    <w:qFormat/>
    <w:pPr>
      <w:numPr>
        <w:ilvl w:val="2"/>
        <w:numId w:val="4"/>
      </w:numPr>
      <w:spacing w:before="120" w:after="120"/>
    </w:pPr>
    <w:rPr>
      <w:rFonts w:cs="Arial"/>
    </w:rPr>
  </w:style>
  <w:style w:type="paragraph" w:customStyle="1" w:styleId="AnnexHeading4">
    <w:name w:val="Annex Heading 4"/>
    <w:basedOn w:val="Normal"/>
    <w:next w:val="BodyText"/>
    <w:autoRedefine/>
    <w:qFormat/>
    <w:pPr>
      <w:numPr>
        <w:ilvl w:val="3"/>
        <w:numId w:val="4"/>
      </w:numPr>
      <w:spacing w:before="120" w:after="120"/>
    </w:pPr>
    <w:rPr>
      <w:rFonts w:cs="Arial"/>
    </w:rPr>
  </w:style>
  <w:style w:type="paragraph" w:customStyle="1" w:styleId="AnnexTable">
    <w:name w:val="Annex Table"/>
    <w:basedOn w:val="Normal"/>
    <w:next w:val="Normal"/>
    <w:autoRedefine/>
    <w:qFormat/>
    <w:pPr>
      <w:numPr>
        <w:numId w:val="5"/>
      </w:numPr>
      <w:tabs>
        <w:tab w:val="left" w:pos="1418"/>
      </w:tabs>
      <w:spacing w:before="120" w:after="120"/>
      <w:jc w:val="center"/>
    </w:pPr>
    <w:rPr>
      <w:i/>
    </w:rPr>
  </w:style>
  <w:style w:type="character" w:customStyle="1" w:styleId="BodyTextChar">
    <w:name w:val="Body Text Char"/>
    <w:link w:val="BodyText"/>
    <w:autoRedefine/>
    <w:qFormat/>
    <w:rPr>
      <w:rFonts w:ascii="Arial" w:hAnsi="Arial" w:cs="Times New Roman"/>
      <w:szCs w:val="24"/>
    </w:rPr>
  </w:style>
  <w:style w:type="paragraph" w:customStyle="1" w:styleId="Bullet1">
    <w:name w:val="Bullet 1"/>
    <w:basedOn w:val="Normal"/>
    <w:autoRedefine/>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autoRedefine/>
    <w:qFormat/>
    <w:pPr>
      <w:suppressAutoHyphens/>
      <w:spacing w:after="120"/>
      <w:ind w:left="1134"/>
      <w:jc w:val="both"/>
    </w:pPr>
    <w:rPr>
      <w:rFonts w:cs="Arial"/>
      <w:lang w:val="fr-FR"/>
    </w:rPr>
  </w:style>
  <w:style w:type="paragraph" w:customStyle="1" w:styleId="Bullet2">
    <w:name w:val="Bullet 2"/>
    <w:basedOn w:val="Normal"/>
    <w:autoRedefine/>
    <w:qFormat/>
    <w:pPr>
      <w:numPr>
        <w:numId w:val="7"/>
      </w:numPr>
      <w:tabs>
        <w:tab w:val="left" w:pos="1701"/>
      </w:tabs>
      <w:spacing w:after="120"/>
      <w:ind w:left="1701" w:hanging="567"/>
      <w:jc w:val="both"/>
    </w:pPr>
    <w:rPr>
      <w:rFonts w:cs="Arial"/>
    </w:rPr>
  </w:style>
  <w:style w:type="paragraph" w:customStyle="1" w:styleId="Bullet2text">
    <w:name w:val="Bullet 2 text"/>
    <w:basedOn w:val="Normal"/>
    <w:autoRedefine/>
    <w:qFormat/>
    <w:pPr>
      <w:suppressAutoHyphens/>
      <w:spacing w:after="120"/>
      <w:ind w:left="1701"/>
      <w:jc w:val="both"/>
    </w:pPr>
    <w:rPr>
      <w:rFonts w:cs="Arial"/>
    </w:rPr>
  </w:style>
  <w:style w:type="paragraph" w:customStyle="1" w:styleId="Bullet3">
    <w:name w:val="Bullet 3"/>
    <w:basedOn w:val="Normal"/>
    <w:autoRedefine/>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autoRedefine/>
    <w:qFormat/>
    <w:pPr>
      <w:suppressAutoHyphens/>
      <w:spacing w:after="60"/>
      <w:ind w:left="2268"/>
    </w:pPr>
    <w:rPr>
      <w:rFonts w:cs="Arial"/>
      <w:sz w:val="20"/>
    </w:rPr>
  </w:style>
  <w:style w:type="paragraph" w:customStyle="1" w:styleId="Figure">
    <w:name w:val="Figure_#"/>
    <w:basedOn w:val="Normal"/>
    <w:next w:val="Normal"/>
    <w:autoRedefine/>
    <w:qFormat/>
    <w:pPr>
      <w:numPr>
        <w:numId w:val="9"/>
      </w:numPr>
      <w:spacing w:before="120" w:after="120"/>
      <w:jc w:val="center"/>
    </w:pPr>
    <w:rPr>
      <w:i/>
      <w:szCs w:val="20"/>
    </w:rPr>
  </w:style>
  <w:style w:type="character" w:customStyle="1" w:styleId="FooterChar">
    <w:name w:val="Footer Char"/>
    <w:link w:val="Footer"/>
    <w:autoRedefine/>
    <w:qFormat/>
    <w:rPr>
      <w:rFonts w:ascii="Arial" w:hAnsi="Arial" w:cs="Times New Roman"/>
      <w:szCs w:val="24"/>
    </w:rPr>
  </w:style>
  <w:style w:type="character" w:customStyle="1" w:styleId="HeaderChar">
    <w:name w:val="Header Char"/>
    <w:link w:val="Header"/>
    <w:autoRedefine/>
    <w:qFormat/>
    <w:rPr>
      <w:rFonts w:ascii="Arial" w:eastAsia="Calibri" w:hAnsi="Arial" w:cs="Times New Roman"/>
      <w:szCs w:val="24"/>
      <w:lang w:eastAsia="en-GB"/>
    </w:rPr>
  </w:style>
  <w:style w:type="character" w:customStyle="1" w:styleId="Heading3Char">
    <w:name w:val="Heading 3 Char"/>
    <w:link w:val="Heading3"/>
    <w:autoRedefine/>
    <w:qFormat/>
    <w:rPr>
      <w:rFonts w:ascii="Arial" w:hAnsi="Arial" w:cs="Calibri"/>
      <w:szCs w:val="20"/>
      <w:lang w:eastAsia="de-DE"/>
    </w:rPr>
  </w:style>
  <w:style w:type="character" w:customStyle="1" w:styleId="Heading4Char">
    <w:name w:val="Heading 4 Char"/>
    <w:link w:val="Heading4"/>
    <w:autoRedefine/>
    <w:qFormat/>
    <w:rPr>
      <w:rFonts w:ascii="Arial" w:hAnsi="Arial" w:cs="Calibri"/>
      <w:szCs w:val="20"/>
      <w:lang w:val="en-US" w:eastAsia="de-DE"/>
    </w:rPr>
  </w:style>
  <w:style w:type="character" w:customStyle="1" w:styleId="Heading5Char">
    <w:name w:val="Heading 5 Char"/>
    <w:link w:val="Heading5"/>
    <w:autoRedefine/>
    <w:qFormat/>
    <w:rPr>
      <w:rFonts w:ascii="Arial" w:eastAsia="Times New Roman" w:hAnsi="Arial" w:cs="Times New Roman"/>
      <w:szCs w:val="20"/>
      <w:lang w:val="de-DE" w:eastAsia="de-DE"/>
    </w:rPr>
  </w:style>
  <w:style w:type="character" w:customStyle="1" w:styleId="Heading6Char">
    <w:name w:val="Heading 6 Char"/>
    <w:link w:val="Heading6"/>
    <w:autoRedefine/>
    <w:qFormat/>
    <w:rPr>
      <w:rFonts w:ascii="Arial" w:hAnsi="Arial" w:cs="Calibri"/>
      <w:szCs w:val="20"/>
      <w:lang w:val="de-DE" w:eastAsia="de-DE"/>
    </w:rPr>
  </w:style>
  <w:style w:type="character" w:customStyle="1" w:styleId="Heading7Char">
    <w:name w:val="Heading 7 Char"/>
    <w:link w:val="Heading7"/>
    <w:autoRedefine/>
    <w:qFormat/>
    <w:rPr>
      <w:rFonts w:ascii="Arial" w:hAnsi="Arial" w:cs="Calibri"/>
      <w:szCs w:val="20"/>
      <w:lang w:val="de-DE" w:eastAsia="de-DE"/>
    </w:rPr>
  </w:style>
  <w:style w:type="character" w:customStyle="1" w:styleId="Heading8Char">
    <w:name w:val="Heading 8 Char"/>
    <w:link w:val="Heading8"/>
    <w:autoRedefine/>
    <w:qFormat/>
    <w:rPr>
      <w:rFonts w:ascii="Arial" w:hAnsi="Arial" w:cs="Calibri"/>
      <w:szCs w:val="20"/>
      <w:lang w:val="de-DE" w:eastAsia="de-DE"/>
    </w:rPr>
  </w:style>
  <w:style w:type="character" w:customStyle="1" w:styleId="Heading9Char">
    <w:name w:val="Heading 9 Char"/>
    <w:link w:val="Heading9"/>
    <w:autoRedefine/>
    <w:qFormat/>
    <w:rPr>
      <w:rFonts w:ascii="Arial" w:hAnsi="Arial" w:cs="Calibri"/>
      <w:szCs w:val="20"/>
      <w:lang w:val="de-DE" w:eastAsia="de-DE"/>
    </w:rPr>
  </w:style>
  <w:style w:type="paragraph" w:customStyle="1" w:styleId="List1">
    <w:name w:val="List 1"/>
    <w:basedOn w:val="Normal"/>
    <w:autoRedefine/>
    <w:qFormat/>
    <w:pPr>
      <w:numPr>
        <w:numId w:val="10"/>
      </w:numPr>
      <w:spacing w:after="120"/>
      <w:jc w:val="both"/>
    </w:pPr>
    <w:rPr>
      <w:rFonts w:eastAsia="MS Mincho"/>
      <w:lang w:eastAsia="ja-JP"/>
    </w:rPr>
  </w:style>
  <w:style w:type="paragraph" w:customStyle="1" w:styleId="List1indent2">
    <w:name w:val="List 1 indent 2"/>
    <w:basedOn w:val="Normal"/>
    <w:autoRedefine/>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autoRedefine/>
    <w:qFormat/>
    <w:pPr>
      <w:spacing w:after="60"/>
      <w:ind w:left="1701"/>
      <w:jc w:val="both"/>
    </w:pPr>
    <w:rPr>
      <w:rFonts w:cs="Arial"/>
      <w:sz w:val="20"/>
    </w:rPr>
  </w:style>
  <w:style w:type="paragraph" w:customStyle="1" w:styleId="List1indenttext">
    <w:name w:val="List 1 indent text"/>
    <w:basedOn w:val="Normal"/>
    <w:autoRedefine/>
    <w:qFormat/>
    <w:pPr>
      <w:spacing w:after="120"/>
      <w:ind w:left="1134"/>
      <w:jc w:val="both"/>
    </w:pPr>
    <w:rPr>
      <w:szCs w:val="20"/>
    </w:rPr>
  </w:style>
  <w:style w:type="paragraph" w:customStyle="1" w:styleId="List1text">
    <w:name w:val="List 1 text"/>
    <w:basedOn w:val="Normal"/>
    <w:autoRedefine/>
    <w:qFormat/>
    <w:pPr>
      <w:spacing w:after="120"/>
      <w:ind w:left="567"/>
    </w:pPr>
    <w:rPr>
      <w:rFonts w:cs="Arial"/>
    </w:rPr>
  </w:style>
  <w:style w:type="paragraph" w:customStyle="1" w:styleId="Table">
    <w:name w:val="Table_#"/>
    <w:basedOn w:val="Normal"/>
    <w:next w:val="Normal"/>
    <w:autoRedefine/>
    <w:qFormat/>
    <w:pPr>
      <w:numPr>
        <w:numId w:val="11"/>
      </w:numPr>
      <w:spacing w:before="120" w:after="120"/>
      <w:jc w:val="center"/>
    </w:pPr>
    <w:rPr>
      <w:i/>
      <w:szCs w:val="20"/>
    </w:rPr>
  </w:style>
  <w:style w:type="character" w:customStyle="1" w:styleId="BodyTextIndentChar">
    <w:name w:val="Body Text Indent Char"/>
    <w:link w:val="BodyTextIndent"/>
    <w:autoRedefine/>
    <w:qFormat/>
    <w:rPr>
      <w:rFonts w:ascii="Arial" w:hAnsi="Arial" w:cs="Times New Roman"/>
      <w:szCs w:val="24"/>
    </w:rPr>
  </w:style>
  <w:style w:type="character" w:customStyle="1" w:styleId="BodyTextIndent2Char">
    <w:name w:val="Body Text Indent 2 Char"/>
    <w:link w:val="BodyTextIndent2"/>
    <w:autoRedefine/>
    <w:qFormat/>
    <w:rPr>
      <w:rFonts w:ascii="Arial" w:hAnsi="Arial" w:cs="Times New Roman"/>
      <w:szCs w:val="24"/>
      <w:lang w:eastAsia="de-DE"/>
    </w:rPr>
  </w:style>
  <w:style w:type="character" w:customStyle="1" w:styleId="FootnoteTextChar">
    <w:name w:val="Footnote Text Char"/>
    <w:link w:val="FootnoteText"/>
    <w:autoRedefine/>
    <w:semiHidden/>
    <w:qFormat/>
    <w:rPr>
      <w:rFonts w:ascii="Arial" w:hAnsi="Arial" w:cs="Times New Roman"/>
      <w:sz w:val="20"/>
      <w:szCs w:val="20"/>
    </w:rPr>
  </w:style>
  <w:style w:type="character" w:customStyle="1" w:styleId="SubtitleChar">
    <w:name w:val="Subtitle Char"/>
    <w:link w:val="Subtitle"/>
    <w:autoRedefine/>
    <w:qFormat/>
    <w:rPr>
      <w:rFonts w:ascii="Arial" w:hAnsi="Arial" w:cs="Arial"/>
      <w:szCs w:val="24"/>
    </w:rPr>
  </w:style>
  <w:style w:type="character" w:customStyle="1" w:styleId="TitleChar">
    <w:name w:val="Title Char"/>
    <w:link w:val="Title"/>
    <w:autoRedefine/>
    <w:qFormat/>
    <w:rPr>
      <w:rFonts w:ascii="Arial" w:hAnsi="Arial" w:cs="Arial"/>
      <w:b/>
      <w:bCs/>
      <w:kern w:val="28"/>
      <w:sz w:val="32"/>
      <w:szCs w:val="32"/>
    </w:rPr>
  </w:style>
  <w:style w:type="paragraph" w:customStyle="1" w:styleId="List1indent1">
    <w:name w:val="List 1 indent 1"/>
    <w:basedOn w:val="Normal"/>
    <w:autoRedefine/>
    <w:qFormat/>
    <w:pPr>
      <w:numPr>
        <w:ilvl w:val="1"/>
        <w:numId w:val="10"/>
      </w:numPr>
      <w:spacing w:after="120"/>
      <w:jc w:val="both"/>
    </w:pPr>
    <w:rPr>
      <w:rFonts w:cs="Arial"/>
    </w:rPr>
  </w:style>
  <w:style w:type="paragraph" w:customStyle="1" w:styleId="List1indent1text">
    <w:name w:val="List 1 indent 1 text"/>
    <w:basedOn w:val="Normal"/>
    <w:autoRedefine/>
    <w:qFormat/>
    <w:pPr>
      <w:spacing w:after="120"/>
      <w:ind w:left="1134"/>
      <w:jc w:val="both"/>
    </w:pPr>
    <w:rPr>
      <w:rFonts w:cs="Arial"/>
      <w:lang w:eastAsia="fr-FR"/>
    </w:rPr>
  </w:style>
  <w:style w:type="paragraph" w:customStyle="1" w:styleId="References">
    <w:name w:val="References"/>
    <w:basedOn w:val="Normal"/>
    <w:autoRedefine/>
    <w:qFormat/>
    <w:pPr>
      <w:numPr>
        <w:numId w:val="12"/>
      </w:numPr>
      <w:spacing w:after="120"/>
    </w:pPr>
    <w:rPr>
      <w:szCs w:val="20"/>
    </w:rPr>
  </w:style>
  <w:style w:type="paragraph" w:customStyle="1" w:styleId="AppendixHeading1">
    <w:name w:val="Appendix Heading 1"/>
    <w:basedOn w:val="Normal"/>
    <w:next w:val="BodyText"/>
    <w:autoRedefine/>
    <w:qFormat/>
    <w:pPr>
      <w:numPr>
        <w:numId w:val="13"/>
      </w:numPr>
      <w:spacing w:before="120" w:after="120"/>
    </w:pPr>
    <w:rPr>
      <w:rFonts w:cs="Arial"/>
      <w:b/>
      <w:caps/>
      <w:sz w:val="24"/>
    </w:rPr>
  </w:style>
  <w:style w:type="paragraph" w:customStyle="1" w:styleId="AppendixHeading2">
    <w:name w:val="Appendix Heading 2"/>
    <w:basedOn w:val="Normal"/>
    <w:next w:val="BodyText"/>
    <w:autoRedefine/>
    <w:qFormat/>
    <w:pPr>
      <w:numPr>
        <w:ilvl w:val="1"/>
        <w:numId w:val="13"/>
      </w:numPr>
      <w:spacing w:before="120" w:after="120"/>
    </w:pPr>
    <w:rPr>
      <w:rFonts w:cs="Arial"/>
      <w:b/>
    </w:rPr>
  </w:style>
  <w:style w:type="paragraph" w:customStyle="1" w:styleId="AppendixHeading3">
    <w:name w:val="Appendix Heading 3"/>
    <w:basedOn w:val="Normal"/>
    <w:next w:val="Normal"/>
    <w:autoRedefine/>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autoRedefine/>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autoRedefine/>
    <w:qFormat/>
    <w:pPr>
      <w:numPr>
        <w:numId w:val="15"/>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paragraph" w:styleId="ListParagraph">
    <w:name w:val="List Paragraph"/>
    <w:basedOn w:val="Normal"/>
    <w:autoRedefine/>
    <w:uiPriority w:val="34"/>
    <w:qFormat/>
    <w:pPr>
      <w:ind w:left="720"/>
      <w:contextualSpacing/>
    </w:pPr>
  </w:style>
  <w:style w:type="character" w:customStyle="1" w:styleId="CommentTextChar">
    <w:name w:val="Comment Text Char"/>
    <w:basedOn w:val="DefaultParagraphFont"/>
    <w:link w:val="CommentText"/>
    <w:autoRedefine/>
    <w:uiPriority w:val="99"/>
    <w:semiHidden/>
    <w:qFormat/>
    <w:rPr>
      <w:rFonts w:ascii="Arial" w:hAnsi="Arial" w:cs="Calibri"/>
    </w:rPr>
  </w:style>
  <w:style w:type="character" w:customStyle="1" w:styleId="CommentSubjectChar">
    <w:name w:val="Comment Subject Char"/>
    <w:basedOn w:val="CommentTextChar"/>
    <w:link w:val="CommentSubject"/>
    <w:autoRedefine/>
    <w:uiPriority w:val="99"/>
    <w:semiHidden/>
    <w:qFormat/>
    <w:rPr>
      <w:rFonts w:ascii="Arial" w:hAnsi="Arial" w:cs="Calibri"/>
      <w:b/>
      <w:bCs/>
    </w:rPr>
  </w:style>
  <w:style w:type="character" w:customStyle="1" w:styleId="Heading1separationlineChar">
    <w:name w:val="Heading 1 separation line Char"/>
    <w:link w:val="Heading1separationline"/>
    <w:qFormat/>
    <w:rPr>
      <w:color w:val="000000" w:themeColor="text1"/>
      <w:sz w:val="22"/>
    </w:rPr>
  </w:style>
  <w:style w:type="paragraph" w:customStyle="1" w:styleId="Revision1">
    <w:name w:val="Revision1"/>
    <w:hidden/>
    <w:uiPriority w:val="99"/>
    <w:unhideWhenUsed/>
    <w:qFormat/>
    <w:rPr>
      <w:rFonts w:ascii="Arial" w:eastAsia="Calibri"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5.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3F2C24A0-1620-45A6-ADED-BA0681538F81}">
  <ds:schemaRefs/>
</ds:datastoreItem>
</file>

<file path=customXml/itemProps2.xml><?xml version="1.0" encoding="utf-8"?>
<ds:datastoreItem xmlns:ds="http://schemas.openxmlformats.org/officeDocument/2006/customXml" ds:itemID="{7607B137-3F3A-40F5-8009-198DD1AC050B}">
  <ds:schemaRefs/>
</ds:datastoreItem>
</file>

<file path=customXml/itemProps3.xml><?xml version="1.0" encoding="utf-8"?>
<ds:datastoreItem xmlns:ds="http://schemas.openxmlformats.org/officeDocument/2006/customXml" ds:itemID="{EA583936-EBF0-4B5C-AD40-D15616720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9E322-D844-4C4A-8253-DE5056654D8B}">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1972</Words>
  <Characters>10230</Characters>
  <Application>Microsoft Office Word</Application>
  <DocSecurity>0</DocSecurity>
  <Lines>85</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15</cp:revision>
  <dcterms:created xsi:type="dcterms:W3CDTF">2023-06-16T12:53:00Z</dcterms:created>
  <dcterms:modified xsi:type="dcterms:W3CDTF">2025-08-23T15:07:00Z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ProductBuildVer">
    <vt:lpwstr>2052-12.1.0.22529</vt:lpwstr>
  </property>
  <property fmtid="{D5CDD505-2E9C-101B-9397-08002B2CF9AE}" pid="6" name="ICV">
    <vt:lpwstr>BA843DB05227462FAFD7A8A6DD8D019F_13</vt:lpwstr>
  </property>
  <property fmtid="{D5CDD505-2E9C-101B-9397-08002B2CF9AE}" pid="7" name="KSOTemplateDocerSaveRecord">
    <vt:lpwstr>eyJoZGlkIjoiYWJmNTAxYTA0NTllZTU0OWY5NWY0MWNlMzBjNGU2OTYiLCJ1c2VySWQiOiIzMjEyNTIwMzMifQ==</vt:lpwstr>
  </property>
</Properties>
</file>